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>
          <w:rFonts w:cs="SFRM1728" w:ascii="SFRM1728" w:hAnsi="SFRM1728"/>
          <w:sz w:val="34"/>
          <w:szCs w:val="34"/>
          <w:lang w:val="en-US"/>
        </w:rPr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>
          <w:rFonts w:cs="SFRM1728" w:ascii="SFRM1728" w:hAnsi="SFRM1728"/>
          <w:sz w:val="34"/>
          <w:szCs w:val="34"/>
          <w:lang w:val="en-US"/>
        </w:rPr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>
          <w:rFonts w:cs="SFRM1728" w:ascii="SFRM1728" w:hAnsi="SFRM1728"/>
          <w:sz w:val="34"/>
          <w:szCs w:val="34"/>
          <w:lang w:val="en-US"/>
        </w:rPr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/>
        <w:drawing>
          <wp:inline distT="0" distB="9525" distL="0" distR="9525">
            <wp:extent cx="3743325" cy="3743325"/>
            <wp:effectExtent l="0" t="0" r="0" b="0"/>
            <wp:docPr id="1" name="Imagen 29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9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</w:rPr>
      </w:pPr>
      <w:r>
        <w:rPr>
          <w:rFonts w:cs="SFRM1728" w:ascii="SFRM1728" w:hAnsi="SFRM1728"/>
          <w:sz w:val="34"/>
          <w:szCs w:val="34"/>
        </w:rPr>
        <w:t>Politecnico di Milano</w:t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</w:rPr>
      </w:pPr>
      <w:r>
        <w:rPr>
          <w:rFonts w:cs="SFRM1728" w:ascii="SFRM1728" w:hAnsi="SFRM1728"/>
          <w:sz w:val="34"/>
          <w:szCs w:val="34"/>
        </w:rPr>
        <w:t>A.A. 2015-2016</w:t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>
          <w:rFonts w:cs="SFRM1728" w:ascii="SFRM1728" w:hAnsi="SFRM1728"/>
          <w:sz w:val="34"/>
          <w:szCs w:val="34"/>
          <w:lang w:val="en-US"/>
        </w:rPr>
        <w:t>Software Engineering 2: “MyTaxiService”</w:t>
      </w:r>
    </w:p>
    <w:p>
      <w:pPr>
        <w:pStyle w:val="Normal"/>
        <w:spacing w:lineRule="auto" w:line="276"/>
        <w:jc w:val="center"/>
        <w:rPr>
          <w:rFonts w:ascii="SFRM1728" w:hAnsi="SFRM1728" w:cs="SFRM1728"/>
          <w:sz w:val="34"/>
          <w:szCs w:val="34"/>
          <w:lang w:val="en-US"/>
        </w:rPr>
      </w:pPr>
      <w:r>
        <w:rPr>
          <w:rFonts w:cs="SFBX1728" w:ascii="SFBX1728" w:hAnsi="SFBX1728"/>
          <w:sz w:val="34"/>
          <w:szCs w:val="34"/>
          <w:lang w:val="en-US"/>
        </w:rPr>
        <w:t>Design D</w:t>
      </w:r>
      <w:r>
        <w:rPr>
          <w:rFonts w:cs="SFRM1728" w:ascii="SFRM1728" w:hAnsi="SFRM1728"/>
          <w:sz w:val="34"/>
          <w:szCs w:val="34"/>
          <w:lang w:val="en-US"/>
        </w:rPr>
        <w:t>ocument</w:t>
      </w:r>
    </w:p>
    <w:p>
      <w:pPr>
        <w:pStyle w:val="Normal"/>
        <w:spacing w:lineRule="auto" w:line="276"/>
        <w:jc w:val="center"/>
        <w:rPr>
          <w:rFonts w:ascii="SFRM1200" w:hAnsi="SFRM1200" w:cs="SFRM1200"/>
          <w:sz w:val="24"/>
          <w:szCs w:val="24"/>
          <w:lang w:val="en-US"/>
        </w:rPr>
      </w:pPr>
      <w:r>
        <w:rPr>
          <w:rFonts w:cs="SFRM1200" w:ascii="SFRM1200" w:hAnsi="SFRM1200"/>
          <w:sz w:val="24"/>
          <w:szCs w:val="24"/>
          <w:lang w:val="en-US"/>
        </w:rPr>
        <w:t>Version 0.1</w:t>
      </w:r>
    </w:p>
    <w:p>
      <w:pPr>
        <w:pStyle w:val="Normal"/>
        <w:spacing w:lineRule="auto" w:line="276"/>
        <w:jc w:val="center"/>
        <w:rPr>
          <w:rFonts w:ascii="SFRM1200" w:hAnsi="SFRM1200" w:cs="SFRM1200"/>
          <w:sz w:val="24"/>
          <w:szCs w:val="24"/>
          <w:lang w:val="en-US"/>
        </w:rPr>
      </w:pPr>
      <w:r>
        <w:rPr>
          <w:rFonts w:cs="SFRM1200" w:ascii="SFRM1200" w:hAnsi="SFRM1200"/>
          <w:sz w:val="24"/>
          <w:szCs w:val="24"/>
          <w:lang w:val="en-US"/>
        </w:rPr>
        <w:t>Ivana Salerno</w:t>
      </w:r>
    </w:p>
    <w:p>
      <w:pPr>
        <w:pStyle w:val="Normal"/>
        <w:spacing w:lineRule="auto" w:line="276"/>
        <w:jc w:val="center"/>
        <w:rPr>
          <w:rFonts w:ascii="SFRM1200" w:hAnsi="SFRM1200" w:cs="SFRM1200"/>
          <w:sz w:val="24"/>
          <w:szCs w:val="24"/>
          <w:lang w:val="en-US"/>
        </w:rPr>
      </w:pPr>
      <w:r>
        <w:rPr>
          <w:rFonts w:cs="SFRM1200" w:ascii="SFRM1200" w:hAnsi="SFRM1200"/>
          <w:sz w:val="24"/>
          <w:szCs w:val="24"/>
          <w:lang w:val="en-US"/>
        </w:rPr>
        <w:t>Alexis Rougnant</w:t>
      </w:r>
    </w:p>
    <w:p>
      <w:pPr>
        <w:pStyle w:val="Normal"/>
        <w:spacing w:lineRule="auto" w:line="276"/>
        <w:jc w:val="center"/>
        <w:rPr>
          <w:rFonts w:ascii="SFRM1200" w:hAnsi="SFRM1200" w:cs="SFRM1200"/>
          <w:sz w:val="24"/>
          <w:szCs w:val="24"/>
          <w:lang w:val="en-US"/>
        </w:rPr>
      </w:pPr>
      <w:r>
        <w:rPr>
          <w:rFonts w:cs="SFRM1200" w:ascii="SFRM1200" w:hAnsi="SFRM1200"/>
          <w:sz w:val="24"/>
          <w:szCs w:val="24"/>
          <w:lang w:val="en-US"/>
        </w:rPr>
        <w:t>Daniel Vacca</w:t>
      </w:r>
    </w:p>
    <w:p>
      <w:pPr>
        <w:pStyle w:val="Normal"/>
        <w:jc w:val="center"/>
        <w:rPr/>
      </w:pPr>
      <w:r>
        <w:rPr>
          <w:rFonts w:cs="SFRM1200" w:ascii="SFRM1200" w:hAnsi="SFRM1200"/>
          <w:sz w:val="24"/>
          <w:szCs w:val="24"/>
          <w:lang w:val="en-US"/>
        </w:rPr>
        <w:t>De</w:t>
      </w:r>
      <w:r>
        <w:rPr>
          <w:rFonts w:cs="SFRM1200" w:ascii="SFRM1200" w:hAnsi="SFRM1200"/>
          <w:sz w:val="24"/>
          <w:szCs w:val="24"/>
          <w:lang w:val="en-US"/>
        </w:rPr>
        <w:t>c</w:t>
      </w:r>
      <w:r>
        <w:rPr>
          <w:rFonts w:cs="SFRM1200" w:ascii="SFRM1200" w:hAnsi="SFRM1200"/>
          <w:sz w:val="24"/>
          <w:szCs w:val="24"/>
          <w:lang w:val="en-US"/>
        </w:rPr>
        <w:t>ember 4</w:t>
      </w:r>
      <w:r>
        <w:rPr>
          <w:rFonts w:cs="SFRM1200" w:ascii="SFRM1200" w:hAnsi="SFRM1200"/>
          <w:sz w:val="24"/>
          <w:szCs w:val="24"/>
          <w:vertAlign w:val="superscript"/>
          <w:lang w:val="en-US"/>
        </w:rPr>
        <w:t>th</w:t>
      </w:r>
      <w:r>
        <w:rPr>
          <w:rFonts w:cs="SFRM1200" w:ascii="SFRM1200" w:hAnsi="SFRM1200"/>
          <w:sz w:val="24"/>
          <w:szCs w:val="24"/>
          <w:lang w:val="en-US"/>
        </w:rPr>
        <w:t xml:space="preserve"> 2015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276" w:before="0" w:after="240"/>
        <w:rPr/>
      </w:pPr>
      <w:r>
        <w:rPr>
          <w:lang w:val="en-US"/>
        </w:rPr>
        <w:t>Table of Content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 w:before="0" w:after="240"/>
        <w:rPr/>
      </w:pPr>
      <w:r>
        <w:rPr>
          <w:lang w:val="en-US"/>
        </w:rPr>
        <w:t>Introduction</w:t>
      </w:r>
    </w:p>
    <w:p>
      <w:pPr>
        <w:pStyle w:val="Heading2"/>
        <w:numPr>
          <w:ilvl w:val="1"/>
          <w:numId w:val="1"/>
        </w:numPr>
        <w:spacing w:lineRule="auto" w:line="276" w:before="0" w:after="240"/>
        <w:rPr/>
      </w:pPr>
      <w:r>
        <w:rPr>
          <w:lang w:val="en-US"/>
        </w:rPr>
        <w:t>Purpose</w:t>
      </w:r>
    </w:p>
    <w:p>
      <w:pPr>
        <w:pStyle w:val="Heading2"/>
        <w:numPr>
          <w:ilvl w:val="1"/>
          <w:numId w:val="1"/>
        </w:numPr>
        <w:spacing w:lineRule="auto" w:line="276" w:before="0" w:after="240"/>
        <w:rPr/>
      </w:pPr>
      <w:r>
        <w:rPr>
          <w:lang w:val="en-US"/>
        </w:rPr>
        <w:t>Assigned Classes</w:t>
      </w:r>
    </w:p>
    <w:p>
      <w:pPr>
        <w:pStyle w:val="Heading1"/>
        <w:numPr>
          <w:ilvl w:val="0"/>
          <w:numId w:val="1"/>
        </w:numPr>
        <w:spacing w:lineRule="auto" w:line="276" w:before="0" w:after="240"/>
        <w:rPr/>
      </w:pPr>
      <w:r>
        <w:rPr>
          <w:lang w:val="en-US"/>
        </w:rPr>
        <w:t>Functional role of assigned set of classes</w:t>
      </w:r>
    </w:p>
    <w:p>
      <w:pPr>
        <w:pStyle w:val="Heading1"/>
        <w:numPr>
          <w:ilvl w:val="0"/>
          <w:numId w:val="1"/>
        </w:numPr>
        <w:spacing w:lineRule="auto" w:line="276" w:before="0" w:after="240"/>
        <w:rPr/>
      </w:pPr>
      <w:r>
        <w:rPr>
          <w:lang w:val="en-US"/>
        </w:rPr>
        <w:t>Issues</w:t>
      </w:r>
    </w:p>
    <w:p>
      <w:pPr>
        <w:pStyle w:val="Heading2"/>
        <w:numPr>
          <w:ilvl w:val="1"/>
          <w:numId w:val="1"/>
        </w:numPr>
        <w:spacing w:lineRule="auto" w:line="276" w:before="0" w:after="240"/>
        <w:rPr/>
      </w:pPr>
      <w:r>
        <w:rPr>
          <w:lang w:val="en-US"/>
        </w:rPr>
        <w:t>Issues found by applying the checklist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Naming conventions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I</w:t>
      </w:r>
      <w:r>
        <w:rPr>
          <w:lang w:val="en-US"/>
        </w:rPr>
        <w:t>ndention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B</w:t>
      </w:r>
      <w:r>
        <w:rPr>
          <w:lang w:val="en-US"/>
        </w:rPr>
        <w:t>races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F</w:t>
      </w:r>
      <w:r>
        <w:rPr>
          <w:lang w:val="en-US"/>
        </w:rPr>
        <w:t>ile Organization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Wrapping Lines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Comments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Java Source Files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Package and Import Statements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Class and Interface Declarations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Initialization and Declarations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Method Calls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Arrays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Object Comparison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Output Format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Computation, Comparisons and Assignments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Exceptions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>
          <w:lang w:val="en-US"/>
        </w:rPr>
        <w:t>Flow of Control</w:t>
      </w:r>
    </w:p>
    <w:p>
      <w:pPr>
        <w:pStyle w:val="Heading2"/>
        <w:numPr>
          <w:ilvl w:val="2"/>
          <w:numId w:val="1"/>
        </w:numPr>
        <w:spacing w:lineRule="auto" w:line="276" w:before="0" w:after="240"/>
        <w:rPr/>
      </w:pPr>
      <w:r>
        <w:rPr/>
        <w:t>Files</w:t>
      </w:r>
    </w:p>
    <w:p>
      <w:pPr>
        <w:pStyle w:val="Heading2"/>
        <w:numPr>
          <w:ilvl w:val="1"/>
          <w:numId w:val="1"/>
        </w:numPr>
        <w:spacing w:lineRule="auto" w:line="276" w:before="0" w:after="240"/>
        <w:rPr/>
      </w:pPr>
      <w:r>
        <w:rPr>
          <w:lang w:val="en-US"/>
        </w:rPr>
        <w:t>O</w:t>
      </w:r>
      <w:r>
        <w:rPr>
          <w:lang w:val="en-US"/>
        </w:rPr>
        <w:t>ther problems</w:t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p>
      <w:pPr>
        <w:pStyle w:val="Normal"/>
        <w:spacing w:lineRule="auto" w:line="276" w:before="0" w:after="240"/>
        <w:rPr>
          <w:lang w:val="en-U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FRM1728">
    <w:charset w:val="00"/>
    <w:family w:val="roman"/>
    <w:pitch w:val="variable"/>
  </w:font>
  <w:font w:name="SFBX1728">
    <w:charset w:val="00"/>
    <w:family w:val="roman"/>
    <w:pitch w:val="variable"/>
  </w:font>
  <w:font w:name="SFRM1200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701" w:hanging="567"/>
      </w:pPr>
    </w:lvl>
    <w:lvl w:ilvl="3">
      <w:start w:val="1"/>
      <w:numFmt w:val="decimal"/>
      <w:lvlText w:val="%1.%2.%3.%4."/>
      <w:lvlJc w:val="left"/>
      <w:pPr>
        <w:ind w:left="2268" w:hanging="567"/>
      </w:pPr>
    </w:lvl>
    <w:lvl w:ilvl="4">
      <w:start w:val="1"/>
      <w:numFmt w:val="decimal"/>
      <w:lvlText w:val="%1.%2.%3.%4.%5."/>
      <w:lvlJc w:val="left"/>
      <w:pPr>
        <w:ind w:left="2835" w:hanging="567"/>
      </w:pPr>
    </w:lvl>
    <w:lvl w:ilvl="5">
      <w:start w:val="1"/>
      <w:numFmt w:val="decimal"/>
      <w:lvlText w:val="%1.%2.%3.%4.%5.%6."/>
      <w:lvlJc w:val="left"/>
      <w:pPr>
        <w:ind w:left="3402" w:hanging="567"/>
      </w:pPr>
    </w:lvl>
    <w:lvl w:ilvl="6">
      <w:start w:val="1"/>
      <w:numFmt w:val="decimal"/>
      <w:lvlText w:val="%1.%2.%3.%4.%5.%6.%7."/>
      <w:lvlJc w:val="left"/>
      <w:pPr>
        <w:ind w:left="3969" w:hanging="567"/>
      </w:pPr>
    </w:lvl>
    <w:lvl w:ilvl="7">
      <w:start w:val="1"/>
      <w:numFmt w:val="decimal"/>
      <w:lvlText w:val="%1.%2.%3.%4.%5.%6.%7.%8."/>
      <w:lvlJc w:val="left"/>
      <w:pPr>
        <w:ind w:left="4536" w:hanging="567"/>
      </w:pPr>
    </w:lvl>
    <w:lvl w:ilvl="8">
      <w:start w:val="1"/>
      <w:numFmt w:val="decimal"/>
      <w:lvlText w:val="%1.%2.%3.%4.%5.%6.%7.%8.%9."/>
      <w:lvlJc w:val="left"/>
      <w:pPr>
        <w:ind w:left="5103" w:hanging="56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56d8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56d8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1"/>
    <w:uiPriority w:val="9"/>
    <w:unhideWhenUsed/>
    <w:qFormat/>
    <w:rsid w:val="007472d5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13559d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56d8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56d8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itre3"/>
    <w:uiPriority w:val="9"/>
    <w:qFormat/>
    <w:rsid w:val="007940aa"/>
    <w:rPr>
      <w:rFonts w:ascii="Calibri Light" w:hAnsi="Calibri Light" w:eastAsia="Droid Sans Fallback" w:cs="Calibri"/>
      <w:color w:val="1F4D78"/>
      <w:sz w:val="24"/>
      <w:szCs w:val="24"/>
    </w:rPr>
  </w:style>
  <w:style w:type="character" w:styleId="Ttulo3Car1" w:customStyle="1">
    <w:name w:val="Título 3 Car1"/>
    <w:basedOn w:val="DefaultParagraphFont"/>
    <w:link w:val="Ttulo3"/>
    <w:uiPriority w:val="9"/>
    <w:qFormat/>
    <w:rsid w:val="007472d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13559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66a1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66a1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31c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0331c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0331cf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331c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a419be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eastAsia="Droid Sans Fallback" w:cs="Calibri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6d83"/>
    <w:pPr>
      <w:spacing w:before="0" w:after="160"/>
      <w:ind w:left="720" w:hanging="0"/>
      <w:contextualSpacing/>
    </w:pPr>
    <w:rPr/>
  </w:style>
  <w:style w:type="paragraph" w:styleId="Titre3" w:customStyle="1">
    <w:name w:val="Titre 3"/>
    <w:basedOn w:val="Normal"/>
    <w:next w:val="Normal"/>
    <w:link w:val="Ttulo3Car"/>
    <w:uiPriority w:val="9"/>
    <w:unhideWhenUsed/>
    <w:qFormat/>
    <w:rsid w:val="007940aa"/>
    <w:pPr>
      <w:keepNext/>
      <w:keepLines/>
      <w:suppressAutoHyphens w:val="true"/>
      <w:spacing w:lineRule="auto" w:line="252" w:before="40" w:after="0"/>
      <w:outlineLvl w:val="2"/>
    </w:pPr>
    <w:rPr>
      <w:rFonts w:ascii="Calibri Light" w:hAnsi="Calibri Light" w:eastAsia="Droid Sans Fallback" w:cs="Calibri"/>
      <w:color w:val="1F4D78"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66a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6a1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0331c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TableContents" w:customStyle="1">
    <w:name w:val="Table Contents"/>
    <w:basedOn w:val="Standard"/>
    <w:qFormat/>
    <w:rsid w:val="000331cf"/>
    <w:pPr>
      <w:suppressLineNumbers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331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0331cf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331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48067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a419be"/>
    <w:pPr>
      <w:spacing w:before="0" w:after="0"/>
    </w:pPr>
    <w:rPr/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645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-nfasis5">
    <w:name w:val="Grid Table 2 Accent 5"/>
    <w:basedOn w:val="Tablanormal"/>
    <w:uiPriority w:val="47"/>
    <w:rsid w:val="0056457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564571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9277-9A59-4B92-A833-A6C11666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Application>LibreOffice/5.0.3.2$Windows_x86 LibreOffice_project/e5f16313668ac592c1bfb310f4390624e3dbfb75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2015-11-28T16:35:00Z</dcterms:created>
  <dc:creator>Daniel Felipe Vacca Manrique</dc:creator>
  <dc:language>en-US</dc:language>
  <dcterms:modified xsi:type="dcterms:W3CDTF">2015-12-15T01:16:29Z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