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3CB6B" w14:textId="77777777" w:rsidR="00710C94" w:rsidRPr="000B5A32" w:rsidRDefault="00710C94" w:rsidP="00710C94">
      <w:pPr>
        <w:widowControl w:val="0"/>
        <w:spacing w:line="276" w:lineRule="auto"/>
        <w:jc w:val="both"/>
        <w:rPr>
          <w:rFonts w:ascii="Didot" w:hAnsi="Didot" w:cs="Didot"/>
          <w:color w:val="1C1C1C"/>
        </w:rPr>
      </w:pPr>
    </w:p>
    <w:p w14:paraId="0BEF95CD" w14:textId="77777777" w:rsidR="00710C94" w:rsidRPr="000B5A32" w:rsidRDefault="00710C94" w:rsidP="00710C94">
      <w:pPr>
        <w:widowControl w:val="0"/>
        <w:spacing w:line="276" w:lineRule="auto"/>
        <w:jc w:val="both"/>
        <w:rPr>
          <w:rFonts w:ascii="Didot" w:hAnsi="Didot" w:cs="Didot"/>
          <w:color w:val="1C1C1C"/>
        </w:rPr>
      </w:pPr>
    </w:p>
    <w:p w14:paraId="0152895B" w14:textId="77777777" w:rsidR="00710C94" w:rsidRPr="000B5A32" w:rsidRDefault="00710C94" w:rsidP="00710C94">
      <w:pPr>
        <w:widowControl w:val="0"/>
        <w:spacing w:line="276" w:lineRule="auto"/>
        <w:jc w:val="both"/>
        <w:rPr>
          <w:rFonts w:ascii="Didot" w:hAnsi="Didot" w:cs="Didot"/>
          <w:color w:val="1C1C1C"/>
        </w:rPr>
      </w:pPr>
    </w:p>
    <w:p w14:paraId="566C1E28" w14:textId="50C798BE" w:rsidR="00710C94" w:rsidRPr="000B5A32" w:rsidRDefault="00710C94" w:rsidP="00710C94">
      <w:pPr>
        <w:widowControl w:val="0"/>
        <w:spacing w:line="276" w:lineRule="auto"/>
        <w:jc w:val="both"/>
        <w:outlineLvl w:val="0"/>
        <w:rPr>
          <w:rFonts w:ascii="Didot" w:hAnsi="Didot" w:cs="Didot"/>
          <w:b/>
        </w:rPr>
      </w:pPr>
      <w:r w:rsidRPr="000B5A32">
        <w:rPr>
          <w:rFonts w:ascii="Didot" w:hAnsi="Didot" w:cs="Didot"/>
          <w:b/>
        </w:rPr>
        <w:t>JUST THE FACTS</w:t>
      </w:r>
      <w:r w:rsidR="008E6600">
        <w:rPr>
          <w:rFonts w:ascii="Didot" w:hAnsi="Didot" w:cs="Didot"/>
          <w:b/>
        </w:rPr>
        <w:t xml:space="preserve"> (as of October, 2016)</w:t>
      </w:r>
    </w:p>
    <w:p w14:paraId="0CCDC3EB" w14:textId="77777777" w:rsidR="00710C94" w:rsidRPr="000B5A32" w:rsidRDefault="00710C94" w:rsidP="00710C94">
      <w:pPr>
        <w:widowControl w:val="0"/>
        <w:spacing w:line="276" w:lineRule="auto"/>
        <w:jc w:val="both"/>
        <w:rPr>
          <w:rFonts w:ascii="Didot" w:hAnsi="Didot" w:cs="Didot"/>
          <w:b/>
        </w:rPr>
      </w:pPr>
    </w:p>
    <w:p w14:paraId="4CE1D614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>Ecoregions comprising the world’s ecosystem:  867</w:t>
      </w:r>
    </w:p>
    <w:p w14:paraId="0EDE9097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>Biological hotspots in the world: 35</w:t>
      </w:r>
    </w:p>
    <w:p w14:paraId="0B5DA3BC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>Nations in whose territory hotspots exist: 144</w:t>
      </w:r>
    </w:p>
    <w:p w14:paraId="0B1057A4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>Hotspots which have achieved Aichi target 11 of 17% protected area: 14</w:t>
      </w:r>
    </w:p>
    <w:p w14:paraId="0CFEF025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 xml:space="preserve">Hotspots which have not reached Aichi target 11 of 17% protected area: 21 </w:t>
      </w:r>
    </w:p>
    <w:p w14:paraId="2B4F6C72" w14:textId="4007A47B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 xml:space="preserve">Ecoregions in the </w:t>
      </w:r>
      <w:r w:rsidR="008E6600">
        <w:rPr>
          <w:rFonts w:ascii="Didot" w:hAnsi="Didot" w:cs="Didot"/>
          <w:sz w:val="24"/>
          <w:szCs w:val="24"/>
        </w:rPr>
        <w:t xml:space="preserve">world’s </w:t>
      </w:r>
      <w:r w:rsidRPr="00977FCB">
        <w:rPr>
          <w:rFonts w:ascii="Didot" w:hAnsi="Didot" w:cs="Didot"/>
          <w:sz w:val="24"/>
          <w:szCs w:val="24"/>
        </w:rPr>
        <w:t>hotspots</w:t>
      </w:r>
      <w:r w:rsidRPr="00977FCB">
        <w:rPr>
          <w:rFonts w:ascii="Didot" w:hAnsi="Didot" w:cs="Didot"/>
          <w:color w:val="auto"/>
          <w:sz w:val="24"/>
          <w:szCs w:val="24"/>
        </w:rPr>
        <w:t>: 3</w:t>
      </w:r>
      <w:r w:rsidR="00977FCB" w:rsidRPr="00977FCB">
        <w:rPr>
          <w:rFonts w:ascii="Didot" w:hAnsi="Didot" w:cs="Didot"/>
          <w:color w:val="auto"/>
          <w:sz w:val="24"/>
          <w:szCs w:val="24"/>
        </w:rPr>
        <w:t>91</w:t>
      </w:r>
    </w:p>
    <w:p w14:paraId="21002350" w14:textId="7515C24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 xml:space="preserve">Ecoregions in hotspots that have achieved the (global) Aichi </w:t>
      </w:r>
      <w:r>
        <w:rPr>
          <w:rFonts w:ascii="Didot" w:hAnsi="Didot" w:cs="Didot"/>
          <w:sz w:val="24"/>
          <w:szCs w:val="24"/>
        </w:rPr>
        <w:t>t</w:t>
      </w:r>
      <w:r w:rsidRPr="000B5A32">
        <w:rPr>
          <w:rFonts w:ascii="Didot" w:hAnsi="Didot" w:cs="Didot"/>
          <w:sz w:val="24"/>
          <w:szCs w:val="24"/>
        </w:rPr>
        <w:t xml:space="preserve">arget of 17% protected habitat within their own domain: </w:t>
      </w:r>
      <w:r w:rsidR="008E6600" w:rsidRPr="008E6600">
        <w:rPr>
          <w:rFonts w:ascii="Didot" w:hAnsi="Didot" w:cs="Didot"/>
          <w:sz w:val="24"/>
          <w:szCs w:val="24"/>
        </w:rPr>
        <w:t>170</w:t>
      </w:r>
    </w:p>
    <w:p w14:paraId="1D577BFF" w14:textId="31954E06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 xml:space="preserve">Ecoregions with shortfalls from the 17% global target within their own domain: </w:t>
      </w:r>
      <w:r w:rsidR="008E6600" w:rsidRPr="008E6600">
        <w:rPr>
          <w:rFonts w:ascii="Didot" w:hAnsi="Didot" w:cs="Didot"/>
          <w:sz w:val="24"/>
          <w:szCs w:val="24"/>
        </w:rPr>
        <w:t>22</w:t>
      </w:r>
      <w:r w:rsidRPr="008E6600">
        <w:rPr>
          <w:rFonts w:ascii="Didot" w:hAnsi="Didot" w:cs="Didot"/>
          <w:sz w:val="24"/>
          <w:szCs w:val="24"/>
        </w:rPr>
        <w:t>1</w:t>
      </w:r>
      <w:bookmarkStart w:id="0" w:name="GoBack"/>
      <w:bookmarkEnd w:id="0"/>
    </w:p>
    <w:p w14:paraId="403CA780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>Cities with over 300K population in hotspots: 420</w:t>
      </w:r>
    </w:p>
    <w:p w14:paraId="71F2A660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>Cities facing imminent conflicts between urban growth and biodiversity: 244</w:t>
      </w:r>
    </w:p>
    <w:p w14:paraId="771E082B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>Nations who are party to the Convention on Biological Diversity: 196</w:t>
      </w:r>
    </w:p>
    <w:p w14:paraId="562C6117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>Nations who are party, but no</w:t>
      </w:r>
      <w:r>
        <w:rPr>
          <w:rFonts w:ascii="Didot" w:hAnsi="Didot" w:cs="Didot"/>
          <w:sz w:val="24"/>
          <w:szCs w:val="24"/>
        </w:rPr>
        <w:t>t</w:t>
      </w:r>
      <w:r w:rsidRPr="000B5A32">
        <w:rPr>
          <w:rFonts w:ascii="Didot" w:hAnsi="Didot" w:cs="Didot"/>
          <w:sz w:val="24"/>
          <w:szCs w:val="24"/>
        </w:rPr>
        <w:t xml:space="preserve"> signatories to the Convention on Biological Diversity: 28</w:t>
      </w:r>
    </w:p>
    <w:p w14:paraId="7F9598C7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color w:val="1C1C1C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 xml:space="preserve">Nations who have </w:t>
      </w:r>
      <w:r w:rsidRPr="000B5A32">
        <w:rPr>
          <w:rFonts w:ascii="Didot" w:hAnsi="Didot" w:cs="Didot"/>
          <w:color w:val="1C1C1C"/>
          <w:sz w:val="24"/>
          <w:szCs w:val="24"/>
        </w:rPr>
        <w:t>National Biodiversity Strategies and Action Plans (NBSAPs): 185</w:t>
      </w:r>
    </w:p>
    <w:p w14:paraId="2912F9F0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 xml:space="preserve">Nations presiding over hotspots who have no </w:t>
      </w:r>
      <w:r w:rsidRPr="000B5A32">
        <w:rPr>
          <w:rFonts w:ascii="Didot" w:hAnsi="Didot" w:cs="Didot"/>
          <w:color w:val="1C1C1C"/>
          <w:sz w:val="24"/>
          <w:szCs w:val="24"/>
        </w:rPr>
        <w:t xml:space="preserve">National Biodiversity Strategies and Action Plans (NBSAPs): </w:t>
      </w:r>
      <w:r w:rsidRPr="000B5A32">
        <w:rPr>
          <w:rFonts w:ascii="Didot" w:hAnsi="Didot" w:cs="Didot"/>
          <w:color w:val="262626"/>
          <w:sz w:val="24"/>
          <w:szCs w:val="24"/>
        </w:rPr>
        <w:t>3 (United States, Palestine and Kosovo)</w:t>
      </w:r>
    </w:p>
    <w:p w14:paraId="580B388A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color w:val="1C1C1C"/>
          <w:sz w:val="24"/>
          <w:szCs w:val="24"/>
        </w:rPr>
      </w:pPr>
      <w:r w:rsidRPr="000B5A32">
        <w:rPr>
          <w:rFonts w:ascii="Didot" w:hAnsi="Didot" w:cs="Didot"/>
          <w:sz w:val="24"/>
          <w:szCs w:val="24"/>
        </w:rPr>
        <w:t xml:space="preserve">Nations presiding over hotspots whose </w:t>
      </w:r>
      <w:r w:rsidRPr="000B5A32">
        <w:rPr>
          <w:rFonts w:ascii="Didot" w:hAnsi="Didot" w:cs="Didot"/>
          <w:color w:val="1C1C1C"/>
          <w:sz w:val="24"/>
          <w:szCs w:val="24"/>
        </w:rPr>
        <w:t xml:space="preserve">National Biodiversity Strategies and Action Plans (NBSAPs) were published after 2010 and can therefore reflect the Aichi </w:t>
      </w:r>
      <w:r>
        <w:rPr>
          <w:rFonts w:ascii="Didot" w:hAnsi="Didot" w:cs="Didot"/>
          <w:color w:val="1C1C1C"/>
          <w:sz w:val="24"/>
          <w:szCs w:val="24"/>
        </w:rPr>
        <w:t>t</w:t>
      </w:r>
      <w:r w:rsidRPr="000B5A32">
        <w:rPr>
          <w:rFonts w:ascii="Didot" w:hAnsi="Didot" w:cs="Didot"/>
          <w:color w:val="1C1C1C"/>
          <w:sz w:val="24"/>
          <w:szCs w:val="24"/>
        </w:rPr>
        <w:t>argets: 48 /144</w:t>
      </w:r>
    </w:p>
    <w:p w14:paraId="4184E37E" w14:textId="77777777" w:rsidR="00710C94" w:rsidRPr="000B5A32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color w:val="1C1C1C"/>
          <w:sz w:val="24"/>
          <w:szCs w:val="24"/>
        </w:rPr>
      </w:pPr>
      <w:r w:rsidRPr="000B5A32">
        <w:rPr>
          <w:rFonts w:ascii="Didot" w:hAnsi="Didot" w:cs="Didot"/>
          <w:color w:val="1C1C1C"/>
          <w:sz w:val="24"/>
          <w:szCs w:val="24"/>
        </w:rPr>
        <w:t xml:space="preserve">Nations </w:t>
      </w:r>
      <w:r w:rsidRPr="000B5A32">
        <w:rPr>
          <w:rFonts w:ascii="Didot" w:hAnsi="Didot" w:cs="Didot"/>
          <w:sz w:val="24"/>
          <w:szCs w:val="24"/>
        </w:rPr>
        <w:t xml:space="preserve">presiding over hotspots </w:t>
      </w:r>
      <w:r w:rsidRPr="000B5A32">
        <w:rPr>
          <w:rFonts w:ascii="Didot" w:hAnsi="Didot" w:cs="Didot"/>
          <w:color w:val="1C1C1C"/>
          <w:sz w:val="24"/>
          <w:szCs w:val="24"/>
        </w:rPr>
        <w:t>who do not have National Biodiversity Strategies and Action Plans (NBSAPs) that take into account the Aichi target 11 of securing 17% protected terrestrial area by 2020: 96.</w:t>
      </w:r>
    </w:p>
    <w:p w14:paraId="22183F0D" w14:textId="6487CDCD" w:rsidR="00710C94" w:rsidRPr="0032682D" w:rsidRDefault="00710C94" w:rsidP="00710C94">
      <w:pPr>
        <w:pStyle w:val="ColorfulList-Accent11"/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hanging="360"/>
        <w:jc w:val="both"/>
        <w:rPr>
          <w:rFonts w:ascii="Didot" w:hAnsi="Didot" w:cs="Didot"/>
          <w:sz w:val="24"/>
          <w:szCs w:val="24"/>
        </w:rPr>
      </w:pPr>
      <w:r w:rsidRPr="0032682D">
        <w:rPr>
          <w:rFonts w:ascii="Didot" w:hAnsi="Didot" w:cs="Didot"/>
          <w:sz w:val="24"/>
          <w:szCs w:val="24"/>
        </w:rPr>
        <w:t xml:space="preserve">Hotspot nations with publicly available spatial land-use plans for biodiversity: </w:t>
      </w:r>
      <w:r w:rsidR="0032682D" w:rsidRPr="0032682D">
        <w:rPr>
          <w:rFonts w:ascii="Didot" w:hAnsi="Didot" w:cs="Didot"/>
          <w:sz w:val="24"/>
          <w:szCs w:val="24"/>
        </w:rPr>
        <w:t>16</w:t>
      </w:r>
      <w:r w:rsidRPr="0032682D">
        <w:rPr>
          <w:rFonts w:ascii="Didot" w:hAnsi="Didot" w:cs="Didot"/>
          <w:sz w:val="24"/>
          <w:szCs w:val="24"/>
        </w:rPr>
        <w:t>/144</w:t>
      </w:r>
      <w:bookmarkStart w:id="1" w:name="_GoBack"/>
      <w:bookmarkEnd w:id="1"/>
      <w:r w:rsidRPr="0032682D">
        <w:rPr>
          <w:rFonts w:ascii="Didot" w:hAnsi="Didot" w:cs="Didot"/>
          <w:sz w:val="24"/>
          <w:szCs w:val="24"/>
        </w:rPr>
        <w:t xml:space="preserve"> </w:t>
      </w:r>
    </w:p>
    <w:p w14:paraId="1737AD3E" w14:textId="77777777" w:rsidR="00710C94" w:rsidRPr="000B5A32" w:rsidRDefault="00710C94" w:rsidP="00710C94">
      <w:pPr>
        <w:widowControl w:val="0"/>
        <w:spacing w:line="276" w:lineRule="auto"/>
        <w:jc w:val="both"/>
        <w:rPr>
          <w:rFonts w:ascii="Didot" w:hAnsi="Didot"/>
        </w:rPr>
      </w:pPr>
    </w:p>
    <w:p w14:paraId="4DFDDCFE" w14:textId="77777777" w:rsidR="00710C94" w:rsidRPr="000B5A32" w:rsidRDefault="00710C94" w:rsidP="00710C94">
      <w:pPr>
        <w:widowControl w:val="0"/>
        <w:spacing w:line="276" w:lineRule="auto"/>
        <w:jc w:val="both"/>
        <w:rPr>
          <w:rFonts w:ascii="Didot" w:hAnsi="Didot"/>
        </w:rPr>
      </w:pPr>
    </w:p>
    <w:p w14:paraId="1F13E254" w14:textId="77777777" w:rsidR="00AA298E" w:rsidRDefault="0032682D"/>
    <w:sectPr w:rsidR="00AA298E" w:rsidSect="007E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94"/>
    <w:rsid w:val="0032682D"/>
    <w:rsid w:val="005A7CC4"/>
    <w:rsid w:val="005E6491"/>
    <w:rsid w:val="00710C94"/>
    <w:rsid w:val="007E4FD5"/>
    <w:rsid w:val="008E6600"/>
    <w:rsid w:val="00977FCB"/>
    <w:rsid w:val="00F0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BA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0C94"/>
    <w:rPr>
      <w:rFonts w:ascii="Lucida Grande" w:eastAsia="ヒラギノ角ゴ Pro W3" w:hAnsi="Lucida Grande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uiPriority w:val="34"/>
    <w:qFormat/>
    <w:rsid w:val="00710C94"/>
    <w:pPr>
      <w:ind w:left="720"/>
    </w:pPr>
    <w:rPr>
      <w:rFonts w:ascii="Times" w:eastAsia="ヒラギノ角ゴ Pro W3" w:hAnsi="Times" w:cs="Times New Roman"/>
      <w:color w:val="000000"/>
      <w:sz w:val="20"/>
      <w:szCs w:val="20"/>
    </w:rPr>
  </w:style>
  <w:style w:type="character" w:styleId="CommentReference">
    <w:name w:val="annotation reference"/>
    <w:rsid w:val="00710C94"/>
    <w:rPr>
      <w:sz w:val="18"/>
      <w:szCs w:val="18"/>
    </w:rPr>
  </w:style>
  <w:style w:type="paragraph" w:styleId="CommentText">
    <w:name w:val="annotation text"/>
    <w:basedOn w:val="Normal"/>
    <w:link w:val="CommentTextChar"/>
    <w:rsid w:val="00710C94"/>
  </w:style>
  <w:style w:type="character" w:customStyle="1" w:styleId="CommentTextChar">
    <w:name w:val="Comment Text Char"/>
    <w:basedOn w:val="DefaultParagraphFont"/>
    <w:link w:val="CommentText"/>
    <w:rsid w:val="00710C94"/>
    <w:rPr>
      <w:rFonts w:ascii="Lucida Grande" w:eastAsia="ヒラギノ角ゴ Pro W3" w:hAnsi="Lucida Grande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9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94"/>
    <w:rPr>
      <w:rFonts w:ascii="Times New Roman" w:eastAsia="ヒラギノ角ゴ Pro W3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1318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JUST THE FACTS (as of October, 2016)</vt:lpstr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2016-09-06T13:27:00Z</dcterms:created>
  <dcterms:modified xsi:type="dcterms:W3CDTF">2016-10-10T18:36:00Z</dcterms:modified>
</cp:coreProperties>
</file>