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84F4A" w14:textId="77777777" w:rsidR="004B4AA7" w:rsidRPr="000B5A32" w:rsidRDefault="004B4AA7" w:rsidP="004B4AA7">
      <w:pPr>
        <w:widowControl w:val="0"/>
        <w:autoSpaceDE w:val="0"/>
        <w:autoSpaceDN w:val="0"/>
        <w:adjustRightInd w:val="0"/>
        <w:jc w:val="both"/>
        <w:outlineLvl w:val="0"/>
        <w:rPr>
          <w:rFonts w:ascii="Didot" w:hAnsi="Didot" w:cs="Didot"/>
          <w:b/>
          <w:color w:val="262626"/>
        </w:rPr>
      </w:pPr>
      <w:r w:rsidRPr="000B5A32">
        <w:rPr>
          <w:rFonts w:ascii="Didot" w:hAnsi="Didot" w:cs="Didot"/>
          <w:b/>
          <w:color w:val="262626"/>
        </w:rPr>
        <w:t>NATIONAL PERFORMANCE INDEX</w:t>
      </w:r>
    </w:p>
    <w:p w14:paraId="60D69543" w14:textId="77777777" w:rsidR="004B4AA7" w:rsidRPr="000B5A32" w:rsidRDefault="004B4AA7" w:rsidP="004B4AA7">
      <w:pPr>
        <w:widowControl w:val="0"/>
        <w:autoSpaceDE w:val="0"/>
        <w:autoSpaceDN w:val="0"/>
        <w:adjustRightInd w:val="0"/>
        <w:jc w:val="both"/>
        <w:rPr>
          <w:rFonts w:ascii="Didot" w:hAnsi="Didot" w:cs="Didot"/>
          <w:b/>
          <w:color w:val="262626"/>
        </w:rPr>
      </w:pPr>
      <w:r w:rsidRPr="000B5A32">
        <w:rPr>
          <w:rFonts w:ascii="Didot" w:hAnsi="Didot" w:cs="Didot"/>
          <w:b/>
          <w:color w:val="262626"/>
        </w:rPr>
        <w:t xml:space="preserve"> </w:t>
      </w:r>
    </w:p>
    <w:p w14:paraId="23290658" w14:textId="16FB5B6A" w:rsidR="004B4AA7" w:rsidRPr="000B5A32" w:rsidRDefault="004B4AA7" w:rsidP="004B4AA7">
      <w:pPr>
        <w:widowControl w:val="0"/>
        <w:autoSpaceDE w:val="0"/>
        <w:autoSpaceDN w:val="0"/>
        <w:adjustRightInd w:val="0"/>
        <w:jc w:val="both"/>
        <w:rPr>
          <w:rFonts w:ascii="Didot" w:hAnsi="Didot" w:cs="Didot"/>
          <w:color w:val="262626"/>
        </w:rPr>
      </w:pPr>
      <w:r w:rsidRPr="000B5A32">
        <w:rPr>
          <w:rFonts w:ascii="Didot" w:hAnsi="Didot" w:cs="Didot"/>
          <w:color w:val="262626"/>
        </w:rPr>
        <w:t>The national performance index documents th</w:t>
      </w:r>
      <w:r w:rsidR="00056593">
        <w:rPr>
          <w:rFonts w:ascii="Didot" w:hAnsi="Didot" w:cs="Didot"/>
          <w:color w:val="262626"/>
        </w:rPr>
        <w:t>e hotspot nations in regard to</w:t>
      </w:r>
      <w:r w:rsidR="007F26D7">
        <w:rPr>
          <w:rFonts w:ascii="Didot" w:hAnsi="Didot" w:cs="Didot"/>
          <w:color w:val="262626"/>
        </w:rPr>
        <w:t xml:space="preserve"> </w:t>
      </w:r>
      <w:r w:rsidR="00056593">
        <w:rPr>
          <w:rFonts w:ascii="Didot" w:hAnsi="Didot" w:cs="Didot"/>
          <w:color w:val="262626"/>
        </w:rPr>
        <w:t>1</w:t>
      </w:r>
      <w:r w:rsidR="007F26D7">
        <w:rPr>
          <w:rFonts w:ascii="Didot" w:hAnsi="Didot" w:cs="Didot"/>
          <w:color w:val="262626"/>
        </w:rPr>
        <w:t xml:space="preserve">) perceptions of corruption, </w:t>
      </w:r>
      <w:r w:rsidR="00056593">
        <w:rPr>
          <w:rFonts w:ascii="Didot" w:hAnsi="Didot" w:cs="Didot"/>
          <w:color w:val="262626"/>
        </w:rPr>
        <w:t>2</w:t>
      </w:r>
      <w:r w:rsidRPr="000B5A32">
        <w:rPr>
          <w:rFonts w:ascii="Didot" w:hAnsi="Didot" w:cs="Didot"/>
          <w:color w:val="262626"/>
        </w:rPr>
        <w:t>) environmental performance</w:t>
      </w:r>
      <w:r>
        <w:rPr>
          <w:rFonts w:ascii="Didot" w:hAnsi="Didot" w:cs="Didot"/>
          <w:color w:val="262626"/>
        </w:rPr>
        <w:t>,</w:t>
      </w:r>
      <w:r w:rsidR="007F26D7">
        <w:rPr>
          <w:rFonts w:ascii="Didot" w:hAnsi="Didot" w:cs="Didot"/>
          <w:color w:val="262626"/>
        </w:rPr>
        <w:t xml:space="preserve"> </w:t>
      </w:r>
      <w:r w:rsidR="00056593">
        <w:rPr>
          <w:rFonts w:ascii="Didot" w:hAnsi="Didot" w:cs="Didot"/>
          <w:color w:val="262626"/>
        </w:rPr>
        <w:t>3</w:t>
      </w:r>
      <w:r w:rsidRPr="000B5A32">
        <w:rPr>
          <w:rFonts w:ascii="Didot" w:hAnsi="Didot" w:cs="Didot"/>
          <w:color w:val="262626"/>
        </w:rPr>
        <w:t xml:space="preserve">) the status </w:t>
      </w:r>
      <w:r w:rsidR="007F26D7" w:rsidRPr="000B5A32">
        <w:rPr>
          <w:rFonts w:ascii="Didot" w:hAnsi="Didot" w:cs="Didot"/>
          <w:color w:val="262626"/>
        </w:rPr>
        <w:t xml:space="preserve">of </w:t>
      </w:r>
      <w:r w:rsidR="007F26D7">
        <w:rPr>
          <w:rFonts w:ascii="Didot" w:hAnsi="Didot" w:cs="Didot"/>
          <w:color w:val="262626"/>
        </w:rPr>
        <w:t xml:space="preserve">national biodiversity planning, </w:t>
      </w:r>
      <w:r w:rsidR="00056593">
        <w:rPr>
          <w:rFonts w:ascii="Didot" w:hAnsi="Didot" w:cs="Didot"/>
          <w:color w:val="262626"/>
        </w:rPr>
        <w:t>4</w:t>
      </w:r>
      <w:r w:rsidRPr="000B5A32">
        <w:rPr>
          <w:rFonts w:ascii="Didot" w:hAnsi="Didot" w:cs="Didot"/>
          <w:color w:val="262626"/>
        </w:rPr>
        <w:t>)</w:t>
      </w:r>
      <w:r w:rsidR="007F26D7">
        <w:rPr>
          <w:rFonts w:ascii="Didot" w:hAnsi="Didot" w:cs="Didot"/>
          <w:color w:val="262626"/>
        </w:rPr>
        <w:t xml:space="preserve"> evidence of spatial land use planning</w:t>
      </w:r>
      <w:r w:rsidR="00056593">
        <w:rPr>
          <w:rFonts w:ascii="Didot" w:hAnsi="Didot" w:cs="Didot"/>
          <w:color w:val="262626"/>
        </w:rPr>
        <w:t>, and</w:t>
      </w:r>
      <w:r w:rsidR="007F26D7">
        <w:rPr>
          <w:rFonts w:ascii="Didot" w:hAnsi="Didot" w:cs="Didot"/>
          <w:color w:val="262626"/>
        </w:rPr>
        <w:t xml:space="preserve"> </w:t>
      </w:r>
      <w:r w:rsidR="00056593">
        <w:rPr>
          <w:rFonts w:ascii="Didot" w:hAnsi="Didot" w:cs="Didot"/>
          <w:color w:val="262626"/>
        </w:rPr>
        <w:t>5</w:t>
      </w:r>
      <w:r w:rsidR="007F26D7">
        <w:rPr>
          <w:rFonts w:ascii="Didot" w:hAnsi="Didot" w:cs="Didot"/>
          <w:color w:val="262626"/>
        </w:rPr>
        <w:t xml:space="preserve">) </w:t>
      </w:r>
      <w:r w:rsidR="007F26D7" w:rsidRPr="000B5A32">
        <w:rPr>
          <w:rFonts w:ascii="Didot" w:hAnsi="Didot" w:cs="Didot"/>
          <w:color w:val="262626"/>
        </w:rPr>
        <w:t>national</w:t>
      </w:r>
      <w:r w:rsidRPr="000B5A32">
        <w:rPr>
          <w:rFonts w:ascii="Didot" w:hAnsi="Didot" w:cs="Didot"/>
          <w:color w:val="262626"/>
        </w:rPr>
        <w:t xml:space="preserve"> </w:t>
      </w:r>
      <w:proofErr w:type="spellStart"/>
      <w:r w:rsidRPr="000B5A32">
        <w:rPr>
          <w:rFonts w:ascii="Didot" w:hAnsi="Didot" w:cs="Didot"/>
          <w:color w:val="262626"/>
        </w:rPr>
        <w:t>biocapacity</w:t>
      </w:r>
      <w:proofErr w:type="spellEnd"/>
      <w:r w:rsidR="007F26D7">
        <w:rPr>
          <w:rFonts w:ascii="Didot" w:hAnsi="Didot" w:cs="Didot"/>
          <w:color w:val="262626"/>
        </w:rPr>
        <w:t xml:space="preserve"> and ecological footprints.</w:t>
      </w:r>
      <w:r w:rsidR="00056593">
        <w:rPr>
          <w:rFonts w:ascii="Didot" w:hAnsi="Didot" w:cs="Didot"/>
          <w:color w:val="262626"/>
        </w:rPr>
        <w:t xml:space="preserve"> The hotspots are also listed with their percentage of protected area as well as their ranking as compared to other hotspots in achieving the Aichi 17% goal and the number of ecoregions which fall short of the 17% target. </w:t>
      </w:r>
    </w:p>
    <w:p w14:paraId="77E5156A" w14:textId="77777777" w:rsidR="004B4AA7" w:rsidRPr="000B5A32" w:rsidRDefault="004B4AA7" w:rsidP="004B4AA7">
      <w:pPr>
        <w:widowControl w:val="0"/>
        <w:autoSpaceDE w:val="0"/>
        <w:autoSpaceDN w:val="0"/>
        <w:adjustRightInd w:val="0"/>
        <w:jc w:val="both"/>
        <w:rPr>
          <w:rFonts w:ascii="Didot" w:hAnsi="Didot" w:cs="Didot"/>
          <w:color w:val="262626"/>
        </w:rPr>
      </w:pPr>
    </w:p>
    <w:p w14:paraId="5286F008" w14:textId="77777777" w:rsidR="007F26D7" w:rsidRPr="00C55456" w:rsidRDefault="007F26D7" w:rsidP="007F26D7">
      <w:pPr>
        <w:widowControl w:val="0"/>
        <w:autoSpaceDE w:val="0"/>
        <w:autoSpaceDN w:val="0"/>
        <w:adjustRightInd w:val="0"/>
        <w:ind w:left="720"/>
        <w:jc w:val="both"/>
        <w:rPr>
          <w:rFonts w:ascii="Didot" w:hAnsi="Didot" w:cs="Didot"/>
          <w:color w:val="262626"/>
          <w:highlight w:val="yellow"/>
        </w:rPr>
      </w:pPr>
    </w:p>
    <w:p w14:paraId="2A736D3C" w14:textId="387DC2EF" w:rsidR="004B4AA7" w:rsidRPr="00C55456" w:rsidRDefault="004B4AA7" w:rsidP="004B4AA7">
      <w:pPr>
        <w:pStyle w:val="ColorfulList-Accent11"/>
        <w:widowControl w:val="0"/>
        <w:numPr>
          <w:ilvl w:val="0"/>
          <w:numId w:val="1"/>
        </w:numPr>
        <w:autoSpaceDE w:val="0"/>
        <w:autoSpaceDN w:val="0"/>
        <w:adjustRightInd w:val="0"/>
        <w:jc w:val="both"/>
        <w:rPr>
          <w:rFonts w:ascii="Didot" w:hAnsi="Didot" w:cs="Didot"/>
          <w:color w:val="262626"/>
          <w:sz w:val="24"/>
          <w:szCs w:val="24"/>
        </w:rPr>
      </w:pPr>
      <w:r w:rsidRPr="000B5A32">
        <w:rPr>
          <w:rFonts w:ascii="Didot" w:hAnsi="Didot" w:cs="Didot"/>
          <w:color w:val="262626"/>
          <w:sz w:val="24"/>
          <w:szCs w:val="24"/>
        </w:rPr>
        <w:t xml:space="preserve">The perception of corruption ranking is taken from a sample of 168 nations assessed by </w:t>
      </w:r>
      <w:r w:rsidRPr="000B5A32">
        <w:rPr>
          <w:rFonts w:ascii="Didot" w:hAnsi="Didot" w:cs="Didot"/>
          <w:sz w:val="24"/>
          <w:szCs w:val="24"/>
        </w:rPr>
        <w:t>Transparency International’s 2015 Corruption Perceptions Index.</w:t>
      </w:r>
      <w:r w:rsidRPr="000B5A32">
        <w:rPr>
          <w:rStyle w:val="FootnoteReference"/>
          <w:rFonts w:ascii="Didot" w:hAnsi="Didot" w:cs="Didot"/>
          <w:sz w:val="24"/>
          <w:szCs w:val="24"/>
        </w:rPr>
        <w:footnoteReference w:id="1"/>
      </w:r>
      <w:r w:rsidR="00D009EF">
        <w:rPr>
          <w:rFonts w:ascii="Didot" w:hAnsi="Didot" w:cs="Didot"/>
          <w:sz w:val="24"/>
          <w:szCs w:val="24"/>
        </w:rPr>
        <w:t xml:space="preserve"> The scoring system is 0 (most corrupt) -100 (least corrupt).</w:t>
      </w:r>
    </w:p>
    <w:p w14:paraId="1F9BC925" w14:textId="77777777" w:rsidR="00C55456" w:rsidRPr="000B5A32" w:rsidRDefault="00C55456" w:rsidP="00C55456">
      <w:pPr>
        <w:pStyle w:val="ColorfulList-Accent11"/>
        <w:widowControl w:val="0"/>
        <w:autoSpaceDE w:val="0"/>
        <w:autoSpaceDN w:val="0"/>
        <w:adjustRightInd w:val="0"/>
        <w:jc w:val="both"/>
        <w:rPr>
          <w:rFonts w:ascii="Didot" w:hAnsi="Didot" w:cs="Didot"/>
          <w:color w:val="262626"/>
          <w:sz w:val="24"/>
          <w:szCs w:val="24"/>
        </w:rPr>
      </w:pPr>
    </w:p>
    <w:p w14:paraId="293255AA" w14:textId="4572770D" w:rsidR="004B4AA7" w:rsidRPr="00C55456" w:rsidRDefault="004B4AA7" w:rsidP="004B4AA7">
      <w:pPr>
        <w:pStyle w:val="ColorfulList-Accent11"/>
        <w:widowControl w:val="0"/>
        <w:numPr>
          <w:ilvl w:val="0"/>
          <w:numId w:val="1"/>
        </w:numPr>
        <w:autoSpaceDE w:val="0"/>
        <w:autoSpaceDN w:val="0"/>
        <w:adjustRightInd w:val="0"/>
        <w:jc w:val="both"/>
        <w:rPr>
          <w:rFonts w:ascii="Didot" w:hAnsi="Didot" w:cs="Didot"/>
          <w:color w:val="262626"/>
          <w:sz w:val="24"/>
          <w:szCs w:val="24"/>
        </w:rPr>
      </w:pPr>
      <w:r w:rsidRPr="000B5A32">
        <w:rPr>
          <w:rFonts w:ascii="Didot" w:hAnsi="Didot" w:cs="Didot"/>
          <w:sz w:val="24"/>
          <w:szCs w:val="24"/>
        </w:rPr>
        <w:t>The</w:t>
      </w:r>
      <w:r w:rsidR="00D16DA6">
        <w:rPr>
          <w:rFonts w:ascii="Didot" w:hAnsi="Didot" w:cs="Didot"/>
          <w:sz w:val="24"/>
          <w:szCs w:val="24"/>
        </w:rPr>
        <w:t xml:space="preserve"> </w:t>
      </w:r>
      <w:r w:rsidR="009A2B17">
        <w:rPr>
          <w:rFonts w:ascii="Didot" w:hAnsi="Didot" w:cs="Didot"/>
          <w:sz w:val="24"/>
          <w:szCs w:val="24"/>
        </w:rPr>
        <w:t xml:space="preserve">national </w:t>
      </w:r>
      <w:r w:rsidR="00D16DA6">
        <w:rPr>
          <w:rFonts w:ascii="Didot" w:hAnsi="Didot" w:cs="Didot"/>
          <w:sz w:val="24"/>
          <w:szCs w:val="24"/>
        </w:rPr>
        <w:t xml:space="preserve">environmental performance ranking </w:t>
      </w:r>
      <w:r w:rsidRPr="000B5A32">
        <w:rPr>
          <w:rFonts w:ascii="Didot" w:hAnsi="Didot" w:cs="Didot"/>
          <w:sz w:val="24"/>
          <w:szCs w:val="24"/>
        </w:rPr>
        <w:t xml:space="preserve">is based on </w:t>
      </w:r>
      <w:r>
        <w:rPr>
          <w:rFonts w:ascii="Didot" w:hAnsi="Didot" w:cs="Didot"/>
          <w:sz w:val="24"/>
          <w:szCs w:val="24"/>
        </w:rPr>
        <w:t xml:space="preserve">the </w:t>
      </w:r>
      <w:r w:rsidRPr="000B5A32">
        <w:rPr>
          <w:rFonts w:ascii="Didot" w:hAnsi="Didot" w:cs="Didot"/>
          <w:sz w:val="24"/>
          <w:szCs w:val="24"/>
        </w:rPr>
        <w:t>2016 Environmental Performance Index (EPI) created by the Yale Center for Environment</w:t>
      </w:r>
      <w:r>
        <w:rPr>
          <w:rFonts w:ascii="Didot" w:hAnsi="Didot" w:cs="Didot"/>
          <w:sz w:val="24"/>
          <w:szCs w:val="24"/>
        </w:rPr>
        <w:t>al</w:t>
      </w:r>
      <w:r w:rsidRPr="000B5A32">
        <w:rPr>
          <w:rFonts w:ascii="Didot" w:hAnsi="Didot" w:cs="Didot"/>
          <w:sz w:val="24"/>
          <w:szCs w:val="24"/>
        </w:rPr>
        <w:t xml:space="preserve"> Law and Policy, the Yale Data Driven Environmental Group, </w:t>
      </w:r>
      <w:r>
        <w:rPr>
          <w:rFonts w:ascii="Didot" w:hAnsi="Didot" w:cs="Didot"/>
          <w:sz w:val="24"/>
          <w:szCs w:val="24"/>
        </w:rPr>
        <w:t xml:space="preserve">and </w:t>
      </w:r>
      <w:r w:rsidRPr="000B5A32">
        <w:rPr>
          <w:rFonts w:ascii="Didot" w:hAnsi="Didot" w:cs="Didot"/>
          <w:sz w:val="24"/>
          <w:szCs w:val="24"/>
        </w:rPr>
        <w:t>the Colombia University Center of international Earth Science Information Network in collaboration with the Samuel Family Foundation, the McCall MacBain Foundation</w:t>
      </w:r>
      <w:r>
        <w:rPr>
          <w:rFonts w:ascii="Didot" w:hAnsi="Didot" w:cs="Didot"/>
          <w:sz w:val="24"/>
          <w:szCs w:val="24"/>
        </w:rPr>
        <w:t>,</w:t>
      </w:r>
      <w:r w:rsidRPr="000B5A32">
        <w:rPr>
          <w:rFonts w:ascii="Didot" w:hAnsi="Didot" w:cs="Didot"/>
          <w:sz w:val="24"/>
          <w:szCs w:val="24"/>
        </w:rPr>
        <w:t xml:space="preserve"> and the World Economic Forum.</w:t>
      </w:r>
      <w:r w:rsidRPr="000B5A32">
        <w:rPr>
          <w:rStyle w:val="FootnoteReference"/>
          <w:rFonts w:ascii="Didot" w:hAnsi="Didot" w:cs="Didot"/>
          <w:sz w:val="24"/>
          <w:szCs w:val="24"/>
        </w:rPr>
        <w:t xml:space="preserve"> </w:t>
      </w:r>
      <w:r w:rsidRPr="000B5A32">
        <w:rPr>
          <w:rStyle w:val="FootnoteReference"/>
          <w:rFonts w:ascii="Didot" w:hAnsi="Didot" w:cs="Didot"/>
          <w:sz w:val="24"/>
          <w:szCs w:val="24"/>
        </w:rPr>
        <w:footnoteReference w:id="2"/>
      </w:r>
      <w:r w:rsidR="00D16DA6">
        <w:rPr>
          <w:rFonts w:ascii="Didot" w:hAnsi="Didot" w:cs="Didot"/>
          <w:sz w:val="24"/>
          <w:szCs w:val="24"/>
        </w:rPr>
        <w:t xml:space="preserve">  180 nations are ranked in the assessment. 1</w:t>
      </w:r>
      <w:r w:rsidR="009A2B17" w:rsidRPr="00D16DA6">
        <w:rPr>
          <w:rFonts w:ascii="Didot" w:hAnsi="Didot" w:cs="Didot"/>
          <w:sz w:val="24"/>
          <w:szCs w:val="24"/>
          <w:vertAlign w:val="superscript"/>
        </w:rPr>
        <w:t>st</w:t>
      </w:r>
      <w:r w:rsidR="009A2B17">
        <w:rPr>
          <w:rFonts w:ascii="Didot" w:hAnsi="Didot" w:cs="Didot"/>
          <w:sz w:val="24"/>
          <w:szCs w:val="24"/>
        </w:rPr>
        <w:t xml:space="preserve"> (</w:t>
      </w:r>
      <w:r w:rsidR="00D16DA6">
        <w:rPr>
          <w:rFonts w:ascii="Didot" w:hAnsi="Didot" w:cs="Didot"/>
          <w:sz w:val="24"/>
          <w:szCs w:val="24"/>
        </w:rPr>
        <w:t>best) – 180</w:t>
      </w:r>
      <w:r w:rsidR="00D16DA6" w:rsidRPr="00D16DA6">
        <w:rPr>
          <w:rFonts w:ascii="Didot" w:hAnsi="Didot" w:cs="Didot"/>
          <w:sz w:val="24"/>
          <w:szCs w:val="24"/>
          <w:vertAlign w:val="superscript"/>
        </w:rPr>
        <w:t>th</w:t>
      </w:r>
      <w:r w:rsidR="00D16DA6">
        <w:rPr>
          <w:rFonts w:ascii="Didot" w:hAnsi="Didot" w:cs="Didot"/>
          <w:sz w:val="24"/>
          <w:szCs w:val="24"/>
        </w:rPr>
        <w:t xml:space="preserve"> (worst).</w:t>
      </w:r>
    </w:p>
    <w:p w14:paraId="7E084DC0" w14:textId="77777777" w:rsidR="00C55456" w:rsidRPr="000B5A32" w:rsidRDefault="00C55456" w:rsidP="00C55456">
      <w:pPr>
        <w:pStyle w:val="ColorfulList-Accent11"/>
        <w:widowControl w:val="0"/>
        <w:autoSpaceDE w:val="0"/>
        <w:autoSpaceDN w:val="0"/>
        <w:adjustRightInd w:val="0"/>
        <w:jc w:val="both"/>
        <w:rPr>
          <w:rFonts w:ascii="Didot" w:hAnsi="Didot" w:cs="Didot"/>
          <w:color w:val="262626"/>
          <w:sz w:val="24"/>
          <w:szCs w:val="24"/>
        </w:rPr>
      </w:pPr>
    </w:p>
    <w:p w14:paraId="29BFC200" w14:textId="77777777" w:rsidR="00C55456" w:rsidRPr="007F26D7" w:rsidRDefault="004B4AA7" w:rsidP="00C55456">
      <w:pPr>
        <w:pStyle w:val="ColorfulList-Accent11"/>
        <w:widowControl w:val="0"/>
        <w:numPr>
          <w:ilvl w:val="0"/>
          <w:numId w:val="1"/>
        </w:numPr>
        <w:autoSpaceDE w:val="0"/>
        <w:autoSpaceDN w:val="0"/>
        <w:adjustRightInd w:val="0"/>
        <w:jc w:val="both"/>
        <w:rPr>
          <w:rFonts w:ascii="Didot" w:hAnsi="Didot" w:cs="Didot"/>
          <w:color w:val="262626"/>
          <w:sz w:val="24"/>
          <w:szCs w:val="24"/>
        </w:rPr>
      </w:pPr>
      <w:r>
        <w:rPr>
          <w:rFonts w:ascii="Didot" w:hAnsi="Didot" w:cs="Didot"/>
          <w:sz w:val="24"/>
          <w:szCs w:val="24"/>
        </w:rPr>
        <w:t xml:space="preserve">The status of national biodiversity </w:t>
      </w:r>
      <w:r w:rsidR="009A2B17">
        <w:rPr>
          <w:rFonts w:ascii="Didot" w:hAnsi="Didot" w:cs="Didot"/>
          <w:sz w:val="24"/>
          <w:szCs w:val="24"/>
        </w:rPr>
        <w:t>planning indicates how</w:t>
      </w:r>
      <w:r>
        <w:rPr>
          <w:rFonts w:ascii="Didot" w:hAnsi="Didot" w:cs="Didot"/>
          <w:sz w:val="24"/>
          <w:szCs w:val="24"/>
        </w:rPr>
        <w:t xml:space="preserve"> nations are adhering to</w:t>
      </w:r>
      <w:r w:rsidRPr="000B5A32">
        <w:rPr>
          <w:rFonts w:ascii="Didot" w:hAnsi="Didot" w:cs="Didot"/>
          <w:sz w:val="24"/>
          <w:szCs w:val="24"/>
        </w:rPr>
        <w:t xml:space="preserve"> their commitment to the Convention on Biological Diversity to submit and regularly update National Biodiversity Strategy Actions Plans (NBSAPs).</w:t>
      </w:r>
      <w:r w:rsidRPr="000B5A32">
        <w:rPr>
          <w:rStyle w:val="FootnoteReference"/>
          <w:rFonts w:ascii="Didot" w:hAnsi="Didot" w:cs="Didot"/>
          <w:sz w:val="24"/>
          <w:szCs w:val="24"/>
        </w:rPr>
        <w:footnoteReference w:id="3"/>
      </w:r>
      <w:r w:rsidRPr="000B5A32">
        <w:rPr>
          <w:rFonts w:ascii="Didot" w:hAnsi="Didot" w:cs="Didot"/>
          <w:sz w:val="24"/>
          <w:szCs w:val="24"/>
        </w:rPr>
        <w:t xml:space="preserve"> </w:t>
      </w:r>
      <w:r w:rsidR="00C1158A">
        <w:rPr>
          <w:rFonts w:ascii="Didot" w:hAnsi="Didot" w:cs="Didot"/>
          <w:sz w:val="24"/>
          <w:szCs w:val="24"/>
        </w:rPr>
        <w:t>Nation’s</w:t>
      </w:r>
      <w:r>
        <w:rPr>
          <w:rFonts w:ascii="Didot" w:hAnsi="Didot" w:cs="Didot"/>
          <w:sz w:val="24"/>
          <w:szCs w:val="24"/>
        </w:rPr>
        <w:t xml:space="preserve"> plans are</w:t>
      </w:r>
      <w:r w:rsidRPr="000B5A32">
        <w:rPr>
          <w:rFonts w:ascii="Didot" w:hAnsi="Didot" w:cs="Didot"/>
          <w:sz w:val="24"/>
          <w:szCs w:val="24"/>
        </w:rPr>
        <w:t xml:space="preserve"> categorized as revised plans, original plans, plans under revision, or plans in progress </w:t>
      </w:r>
      <w:r>
        <w:rPr>
          <w:rFonts w:ascii="Didot" w:hAnsi="Didot" w:cs="Didot"/>
          <w:sz w:val="24"/>
          <w:szCs w:val="24"/>
        </w:rPr>
        <w:t>and are accompanied by</w:t>
      </w:r>
      <w:r w:rsidR="00C1158A">
        <w:rPr>
          <w:rFonts w:ascii="Didot" w:hAnsi="Didot" w:cs="Didot"/>
          <w:sz w:val="24"/>
          <w:szCs w:val="24"/>
        </w:rPr>
        <w:t xml:space="preserve"> </w:t>
      </w:r>
      <w:r w:rsidRPr="000B5A32">
        <w:rPr>
          <w:rFonts w:ascii="Didot" w:hAnsi="Didot" w:cs="Didot"/>
          <w:sz w:val="24"/>
          <w:szCs w:val="24"/>
        </w:rPr>
        <w:t>the date of publication. N</w:t>
      </w:r>
      <w:r>
        <w:rPr>
          <w:rFonts w:ascii="Didot" w:hAnsi="Didot" w:cs="Didot"/>
          <w:sz w:val="24"/>
          <w:szCs w:val="24"/>
        </w:rPr>
        <w:t>A</w:t>
      </w:r>
      <w:r w:rsidRPr="000B5A32">
        <w:rPr>
          <w:rFonts w:ascii="Didot" w:hAnsi="Didot" w:cs="Didot"/>
          <w:sz w:val="24"/>
          <w:szCs w:val="24"/>
        </w:rPr>
        <w:t xml:space="preserve"> indicates that </w:t>
      </w:r>
      <w:r>
        <w:rPr>
          <w:rFonts w:ascii="Didot" w:hAnsi="Didot" w:cs="Didot"/>
          <w:sz w:val="24"/>
          <w:szCs w:val="24"/>
        </w:rPr>
        <w:t>t</w:t>
      </w:r>
      <w:r w:rsidRPr="000B5A32">
        <w:rPr>
          <w:rFonts w:ascii="Didot" w:hAnsi="Didot" w:cs="Didot"/>
          <w:sz w:val="24"/>
          <w:szCs w:val="24"/>
        </w:rPr>
        <w:t>he nation is either not a signatory to the Convention on Biological Diversity (USA</w:t>
      </w:r>
      <w:r w:rsidR="009A2B17">
        <w:rPr>
          <w:rFonts w:ascii="Didot" w:hAnsi="Didot" w:cs="Didot"/>
          <w:sz w:val="24"/>
          <w:szCs w:val="24"/>
        </w:rPr>
        <w:t xml:space="preserve"> for example</w:t>
      </w:r>
      <w:r w:rsidRPr="000B5A32">
        <w:rPr>
          <w:rFonts w:ascii="Didot" w:hAnsi="Didot" w:cs="Didot"/>
          <w:sz w:val="24"/>
          <w:szCs w:val="24"/>
        </w:rPr>
        <w:t>) or information is unavailable and/or in the case of remote territories under the hegemony of other nations</w:t>
      </w:r>
      <w:r w:rsidR="009A2B17">
        <w:rPr>
          <w:rFonts w:ascii="Didot" w:hAnsi="Didot" w:cs="Didot"/>
          <w:sz w:val="24"/>
          <w:szCs w:val="24"/>
        </w:rPr>
        <w:t xml:space="preserve">. For up to </w:t>
      </w:r>
      <w:r w:rsidR="009A2B17" w:rsidRPr="00C55456">
        <w:rPr>
          <w:rFonts w:ascii="Didot" w:hAnsi="Didot" w:cs="Didot"/>
          <w:sz w:val="24"/>
          <w:szCs w:val="24"/>
        </w:rPr>
        <w:t xml:space="preserve">date NBSAP status reports the CBD website should be referred to. </w:t>
      </w:r>
    </w:p>
    <w:p w14:paraId="54027FA0" w14:textId="77777777" w:rsidR="007F26D7" w:rsidRDefault="007F26D7" w:rsidP="007F26D7">
      <w:pPr>
        <w:pStyle w:val="ColorfulList-Accent11"/>
        <w:widowControl w:val="0"/>
        <w:autoSpaceDE w:val="0"/>
        <w:autoSpaceDN w:val="0"/>
        <w:adjustRightInd w:val="0"/>
        <w:ind w:left="0"/>
        <w:jc w:val="both"/>
        <w:rPr>
          <w:rFonts w:ascii="Didot" w:hAnsi="Didot" w:cs="Didot"/>
          <w:color w:val="262626"/>
          <w:sz w:val="24"/>
          <w:szCs w:val="24"/>
        </w:rPr>
      </w:pPr>
    </w:p>
    <w:p w14:paraId="42531AE0" w14:textId="0004B55E" w:rsidR="007F26D7" w:rsidRPr="00C55456" w:rsidRDefault="007F26D7" w:rsidP="00C55456">
      <w:pPr>
        <w:pStyle w:val="ColorfulList-Accent11"/>
        <w:widowControl w:val="0"/>
        <w:numPr>
          <w:ilvl w:val="0"/>
          <w:numId w:val="1"/>
        </w:numPr>
        <w:autoSpaceDE w:val="0"/>
        <w:autoSpaceDN w:val="0"/>
        <w:adjustRightInd w:val="0"/>
        <w:jc w:val="both"/>
        <w:rPr>
          <w:rFonts w:ascii="Didot" w:hAnsi="Didot" w:cs="Didot"/>
          <w:color w:val="262626"/>
          <w:sz w:val="24"/>
          <w:szCs w:val="24"/>
        </w:rPr>
      </w:pPr>
      <w:r>
        <w:rPr>
          <w:rFonts w:ascii="Didot" w:hAnsi="Didot" w:cs="Didot"/>
          <w:sz w:val="24"/>
          <w:szCs w:val="24"/>
        </w:rPr>
        <w:t xml:space="preserve">The assessment of whether a nation’s </w:t>
      </w:r>
      <w:r w:rsidRPr="000B5A32">
        <w:rPr>
          <w:rFonts w:ascii="Didot" w:hAnsi="Didot" w:cs="Didot"/>
          <w:sz w:val="24"/>
          <w:szCs w:val="24"/>
        </w:rPr>
        <w:t>National Biodiversity Strategy Actions Plan</w:t>
      </w:r>
      <w:r>
        <w:rPr>
          <w:rFonts w:ascii="Didot" w:hAnsi="Didot" w:cs="Didot"/>
          <w:sz w:val="24"/>
          <w:szCs w:val="24"/>
        </w:rPr>
        <w:t xml:space="preserve"> has any evidence of spatial planning is limited to desk top analysis. This factor is important in that it suggests the translation of words and targets into actual land use planning.  </w:t>
      </w:r>
    </w:p>
    <w:p w14:paraId="6D30A3C9" w14:textId="77777777" w:rsidR="00C55456" w:rsidRPr="00C55456" w:rsidRDefault="00C55456" w:rsidP="00C55456">
      <w:pPr>
        <w:pStyle w:val="ColorfulList-Accent11"/>
        <w:widowControl w:val="0"/>
        <w:autoSpaceDE w:val="0"/>
        <w:autoSpaceDN w:val="0"/>
        <w:adjustRightInd w:val="0"/>
        <w:jc w:val="both"/>
        <w:rPr>
          <w:rFonts w:ascii="Didot" w:hAnsi="Didot" w:cs="Didot"/>
          <w:color w:val="262626"/>
          <w:sz w:val="24"/>
          <w:szCs w:val="24"/>
        </w:rPr>
      </w:pPr>
    </w:p>
    <w:p w14:paraId="1849E1BC" w14:textId="3C8248D3" w:rsidR="00C55456" w:rsidRPr="00C55456" w:rsidRDefault="004B4AA7" w:rsidP="00C55456">
      <w:pPr>
        <w:pStyle w:val="ColorfulList-Accent11"/>
        <w:widowControl w:val="0"/>
        <w:numPr>
          <w:ilvl w:val="0"/>
          <w:numId w:val="1"/>
        </w:numPr>
        <w:autoSpaceDE w:val="0"/>
        <w:autoSpaceDN w:val="0"/>
        <w:adjustRightInd w:val="0"/>
        <w:jc w:val="both"/>
        <w:rPr>
          <w:rFonts w:ascii="Didot" w:hAnsi="Didot" w:cs="Didot"/>
          <w:color w:val="262626"/>
          <w:sz w:val="24"/>
          <w:szCs w:val="24"/>
        </w:rPr>
      </w:pPr>
      <w:r w:rsidRPr="00C55456">
        <w:rPr>
          <w:rFonts w:ascii="Didot" w:hAnsi="Didot" w:cs="Didot"/>
          <w:sz w:val="24"/>
          <w:szCs w:val="24"/>
        </w:rPr>
        <w:lastRenderedPageBreak/>
        <w:t>National biocapacity and ecological footprints are taken from the Global Footprint Network.</w:t>
      </w:r>
      <w:r w:rsidRPr="00C55456">
        <w:rPr>
          <w:rStyle w:val="FootnoteReference"/>
          <w:rFonts w:ascii="Didot" w:hAnsi="Didot" w:cs="Didot"/>
          <w:sz w:val="24"/>
          <w:szCs w:val="24"/>
        </w:rPr>
        <w:footnoteReference w:id="4"/>
      </w:r>
      <w:r w:rsidR="00C55456" w:rsidRPr="00C55456">
        <w:rPr>
          <w:rFonts w:ascii="Didot" w:hAnsi="Didot" w:cs="Didot"/>
          <w:sz w:val="24"/>
          <w:szCs w:val="24"/>
        </w:rPr>
        <w:t xml:space="preserve"> </w:t>
      </w:r>
      <w:r w:rsidR="00C55456" w:rsidRPr="00C55456">
        <w:rPr>
          <w:rFonts w:ascii="Didot" w:hAnsi="Didot" w:cs="Didot"/>
          <w:color w:val="auto"/>
          <w:sz w:val="24"/>
          <w:szCs w:val="24"/>
        </w:rPr>
        <w:t>Biocapacity is a “measure of the amount of biologically productive land and sea area available to provide the ecosystem services that humanity consumes”.</w:t>
      </w:r>
      <w:r w:rsidR="00C55456" w:rsidRPr="00C55456">
        <w:rPr>
          <w:rStyle w:val="FootnoteReference"/>
          <w:rFonts w:ascii="Didot" w:hAnsi="Didot" w:cs="Didot"/>
          <w:color w:val="auto"/>
          <w:sz w:val="24"/>
          <w:szCs w:val="24"/>
        </w:rPr>
        <w:footnoteReference w:id="5"/>
      </w:r>
      <w:r w:rsidR="00C55456" w:rsidRPr="00C55456">
        <w:rPr>
          <w:rFonts w:ascii="Didot" w:eastAsiaTheme="minorEastAsia" w:hAnsi="Didot" w:cs="Didot"/>
          <w:sz w:val="24"/>
          <w:szCs w:val="24"/>
          <w:shd w:val="clear" w:color="auto" w:fill="FFFFFF"/>
          <w:lang w:eastAsia="zh-TW"/>
        </w:rPr>
        <w:t xml:space="preserve"> E</w:t>
      </w:r>
      <w:r w:rsidR="00C55456" w:rsidRPr="00C55456">
        <w:rPr>
          <w:rFonts w:ascii="Didot" w:hAnsi="Didot" w:cs="Didot"/>
          <w:color w:val="auto"/>
          <w:sz w:val="24"/>
          <w:szCs w:val="24"/>
        </w:rPr>
        <w:t>cological footprints are a “measure of the demand populations and their activities place on the biosphere in a given year, given the prevailing technology and resource management.</w:t>
      </w:r>
      <w:r w:rsidR="00C55456" w:rsidRPr="00C55456">
        <w:rPr>
          <w:rFonts w:ascii="Didot" w:eastAsiaTheme="minorEastAsia" w:hAnsi="Didot" w:cs="Didot"/>
          <w:color w:val="auto"/>
          <w:sz w:val="24"/>
          <w:szCs w:val="24"/>
          <w:lang w:eastAsia="zh-TW"/>
        </w:rPr>
        <w:t>”</w:t>
      </w:r>
      <w:r w:rsidR="00C55456" w:rsidRPr="00C55456">
        <w:rPr>
          <w:rStyle w:val="FootnoteReference"/>
          <w:rFonts w:ascii="Didot" w:eastAsiaTheme="minorEastAsia" w:hAnsi="Didot" w:cs="Didot"/>
          <w:color w:val="auto"/>
          <w:sz w:val="24"/>
          <w:szCs w:val="24"/>
          <w:lang w:eastAsia="zh-TW"/>
        </w:rPr>
        <w:footnoteReference w:id="6"/>
      </w:r>
      <w:r w:rsidR="00C55456" w:rsidRPr="00C55456">
        <w:rPr>
          <w:rStyle w:val="FootnoteReference"/>
          <w:rFonts w:ascii="Didot" w:hAnsi="Didot" w:cs="Didot"/>
          <w:color w:val="auto"/>
          <w:sz w:val="24"/>
          <w:szCs w:val="24"/>
        </w:rPr>
        <w:t xml:space="preserve"> </w:t>
      </w:r>
      <w:r w:rsidR="00C55456" w:rsidRPr="00C55456">
        <w:rPr>
          <w:rFonts w:ascii="Didot" w:hAnsi="Didot" w:cs="Didot"/>
          <w:color w:val="auto"/>
          <w:sz w:val="24"/>
          <w:szCs w:val="24"/>
        </w:rPr>
        <w:t xml:space="preserve"> </w:t>
      </w:r>
      <w:r w:rsidR="00C55456" w:rsidRPr="00C55456">
        <w:rPr>
          <w:rFonts w:ascii="Didot" w:eastAsia="Calibri" w:hAnsi="Didot" w:cs="Didot"/>
          <w:color w:val="auto"/>
          <w:sz w:val="24"/>
          <w:szCs w:val="24"/>
        </w:rPr>
        <w:t>The total footprint is reached by adding data for food, energy, forest products, urban area and waste.</w:t>
      </w:r>
      <w:bookmarkStart w:id="0" w:name="_GoBack"/>
      <w:bookmarkEnd w:id="0"/>
    </w:p>
    <w:p w14:paraId="5AA9045D" w14:textId="77777777" w:rsidR="00AA298E" w:rsidRDefault="00C142E0"/>
    <w:sectPr w:rsidR="00AA298E" w:rsidSect="007E4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D2815" w14:textId="77777777" w:rsidR="00C142E0" w:rsidRDefault="00C142E0" w:rsidP="004B4AA7">
      <w:r>
        <w:separator/>
      </w:r>
    </w:p>
  </w:endnote>
  <w:endnote w:type="continuationSeparator" w:id="0">
    <w:p w14:paraId="5D43C04C" w14:textId="77777777" w:rsidR="00C142E0" w:rsidRDefault="00C142E0" w:rsidP="004B4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334C4" w14:textId="77777777" w:rsidR="00C142E0" w:rsidRDefault="00C142E0" w:rsidP="004B4AA7">
      <w:r>
        <w:separator/>
      </w:r>
    </w:p>
  </w:footnote>
  <w:footnote w:type="continuationSeparator" w:id="0">
    <w:p w14:paraId="32C41462" w14:textId="77777777" w:rsidR="00C142E0" w:rsidRDefault="00C142E0" w:rsidP="004B4AA7">
      <w:r>
        <w:continuationSeparator/>
      </w:r>
    </w:p>
  </w:footnote>
  <w:footnote w:id="1">
    <w:p w14:paraId="70DA4C6B" w14:textId="088F29D2" w:rsidR="004B4AA7" w:rsidRPr="003978B7" w:rsidRDefault="004B4AA7" w:rsidP="004B4AA7">
      <w:pPr>
        <w:pStyle w:val="FootnoteText"/>
        <w:rPr>
          <w:rFonts w:ascii="Times New Roman" w:hAnsi="Times New Roman"/>
          <w:sz w:val="20"/>
          <w:szCs w:val="20"/>
        </w:rPr>
      </w:pPr>
      <w:r w:rsidRPr="003978B7">
        <w:rPr>
          <w:rStyle w:val="FootnoteReference"/>
          <w:rFonts w:ascii="Times New Roman" w:hAnsi="Times New Roman"/>
          <w:sz w:val="20"/>
          <w:szCs w:val="20"/>
        </w:rPr>
        <w:footnoteRef/>
      </w:r>
      <w:r w:rsidRPr="003978B7">
        <w:rPr>
          <w:rFonts w:ascii="Times New Roman" w:hAnsi="Times New Roman"/>
          <w:sz w:val="20"/>
          <w:szCs w:val="20"/>
        </w:rPr>
        <w:t xml:space="preserve"> </w:t>
      </w:r>
      <w:r>
        <w:rPr>
          <w:rFonts w:ascii="Times New Roman" w:hAnsi="Times New Roman"/>
          <w:sz w:val="20"/>
          <w:szCs w:val="20"/>
        </w:rPr>
        <w:t xml:space="preserve">Transparency International, “Corruption Perceptions Index 2015” </w:t>
      </w:r>
      <w:hyperlink r:id="rId1" w:history="1">
        <w:r w:rsidRPr="00F7048B">
          <w:rPr>
            <w:rStyle w:val="Hyperlink"/>
            <w:rFonts w:ascii="Times New Roman" w:hAnsi="Times New Roman"/>
            <w:sz w:val="20"/>
            <w:szCs w:val="20"/>
          </w:rPr>
          <w:t>https://www.transparency.org/cpi2015/</w:t>
        </w:r>
      </w:hyperlink>
      <w:r>
        <w:rPr>
          <w:rFonts w:ascii="Times New Roman" w:hAnsi="Times New Roman"/>
          <w:sz w:val="20"/>
          <w:szCs w:val="20"/>
        </w:rPr>
        <w:t xml:space="preserve"> (</w:t>
      </w:r>
      <w:r w:rsidRPr="00C55456">
        <w:rPr>
          <w:rFonts w:ascii="Times New Roman" w:hAnsi="Times New Roman"/>
          <w:sz w:val="20"/>
          <w:szCs w:val="20"/>
        </w:rPr>
        <w:t xml:space="preserve">accessed </w:t>
      </w:r>
      <w:r w:rsidR="00C55456" w:rsidRPr="00C55456">
        <w:rPr>
          <w:rFonts w:ascii="Times New Roman" w:hAnsi="Times New Roman"/>
          <w:sz w:val="20"/>
          <w:szCs w:val="20"/>
        </w:rPr>
        <w:t>June 1, 2016</w:t>
      </w:r>
      <w:r w:rsidRPr="00C55456">
        <w:rPr>
          <w:rFonts w:ascii="Times New Roman" w:hAnsi="Times New Roman"/>
          <w:sz w:val="20"/>
          <w:szCs w:val="20"/>
        </w:rPr>
        <w:t>).</w:t>
      </w:r>
    </w:p>
  </w:footnote>
  <w:footnote w:id="2">
    <w:p w14:paraId="3D8A9A9D" w14:textId="774402E6" w:rsidR="004B4AA7" w:rsidRPr="003978B7" w:rsidRDefault="004B4AA7" w:rsidP="00C55456">
      <w:pPr>
        <w:pStyle w:val="FootnoteText"/>
        <w:ind w:firstLine="720"/>
        <w:rPr>
          <w:rFonts w:ascii="Times New Roman" w:hAnsi="Times New Roman"/>
          <w:sz w:val="20"/>
          <w:szCs w:val="20"/>
        </w:rPr>
      </w:pPr>
      <w:r w:rsidRPr="003978B7">
        <w:rPr>
          <w:rStyle w:val="FootnoteReference"/>
          <w:rFonts w:ascii="Times New Roman" w:hAnsi="Times New Roman"/>
          <w:sz w:val="20"/>
          <w:szCs w:val="20"/>
        </w:rPr>
        <w:footnoteRef/>
      </w:r>
      <w:r>
        <w:rPr>
          <w:rFonts w:ascii="Times New Roman" w:hAnsi="Times New Roman"/>
          <w:sz w:val="20"/>
          <w:szCs w:val="20"/>
        </w:rPr>
        <w:t xml:space="preserve"> A. Hsu, et al., </w:t>
      </w:r>
      <w:r>
        <w:rPr>
          <w:rFonts w:ascii="Times New Roman" w:hAnsi="Times New Roman"/>
          <w:i/>
          <w:sz w:val="20"/>
          <w:szCs w:val="20"/>
        </w:rPr>
        <w:t xml:space="preserve">2016 Environmental Performance Index </w:t>
      </w:r>
      <w:r>
        <w:rPr>
          <w:rFonts w:ascii="Times New Roman" w:hAnsi="Times New Roman"/>
          <w:sz w:val="20"/>
          <w:szCs w:val="20"/>
        </w:rPr>
        <w:t xml:space="preserve">(New Haven, CT: Yale University, 2016). Available at </w:t>
      </w:r>
      <w:hyperlink r:id="rId2" w:history="1">
        <w:r w:rsidRPr="00F7048B">
          <w:rPr>
            <w:rStyle w:val="Hyperlink"/>
            <w:rFonts w:ascii="Times New Roman" w:hAnsi="Times New Roman"/>
            <w:sz w:val="20"/>
            <w:szCs w:val="20"/>
          </w:rPr>
          <w:t>http://epi.yale.edu/sites/default/files/2016EPI_Full_Report.pdf</w:t>
        </w:r>
      </w:hyperlink>
      <w:r>
        <w:rPr>
          <w:rFonts w:ascii="Times New Roman" w:hAnsi="Times New Roman"/>
          <w:sz w:val="20"/>
          <w:szCs w:val="20"/>
        </w:rPr>
        <w:t>.</w:t>
      </w:r>
    </w:p>
  </w:footnote>
  <w:footnote w:id="3">
    <w:p w14:paraId="6AF34F7C" w14:textId="073038CE" w:rsidR="004B4AA7" w:rsidRPr="003978B7" w:rsidRDefault="004B4AA7" w:rsidP="00C55456">
      <w:pPr>
        <w:pStyle w:val="FootnoteText"/>
        <w:ind w:firstLine="720"/>
        <w:rPr>
          <w:rFonts w:ascii="Times New Roman" w:hAnsi="Times New Roman"/>
          <w:sz w:val="20"/>
          <w:szCs w:val="20"/>
        </w:rPr>
      </w:pPr>
      <w:r w:rsidRPr="003978B7">
        <w:rPr>
          <w:rStyle w:val="FootnoteReference"/>
          <w:rFonts w:ascii="Times New Roman" w:hAnsi="Times New Roman"/>
          <w:sz w:val="20"/>
          <w:szCs w:val="20"/>
        </w:rPr>
        <w:footnoteRef/>
      </w:r>
      <w:r w:rsidRPr="003978B7">
        <w:rPr>
          <w:rFonts w:ascii="Times New Roman" w:hAnsi="Times New Roman"/>
          <w:sz w:val="20"/>
          <w:szCs w:val="20"/>
        </w:rPr>
        <w:t xml:space="preserve"> </w:t>
      </w:r>
      <w:r>
        <w:rPr>
          <w:rFonts w:ascii="Times New Roman" w:hAnsi="Times New Roman"/>
          <w:sz w:val="20"/>
          <w:szCs w:val="20"/>
        </w:rPr>
        <w:t>Convention on Biological Diversity, “National Biodiversity Str</w:t>
      </w:r>
      <w:r w:rsidR="00C55456">
        <w:rPr>
          <w:rFonts w:ascii="Times New Roman" w:hAnsi="Times New Roman"/>
          <w:sz w:val="20"/>
          <w:szCs w:val="20"/>
        </w:rPr>
        <w:t>ategies and Action Plans (NBSAP</w:t>
      </w:r>
      <w:r>
        <w:rPr>
          <w:rFonts w:ascii="Times New Roman" w:hAnsi="Times New Roman"/>
          <w:sz w:val="20"/>
          <w:szCs w:val="20"/>
        </w:rPr>
        <w:t xml:space="preserve">s),” </w:t>
      </w:r>
      <w:hyperlink r:id="rId3" w:history="1">
        <w:r w:rsidR="00C55456" w:rsidRPr="007C56CC">
          <w:rPr>
            <w:rStyle w:val="Hyperlink"/>
            <w:rFonts w:ascii="Times New Roman" w:hAnsi="Times New Roman"/>
            <w:sz w:val="20"/>
            <w:szCs w:val="20"/>
          </w:rPr>
          <w:t>https://www.cbd.int/nbsap/default.shtml</w:t>
        </w:r>
      </w:hyperlink>
      <w:r w:rsidR="00C55456">
        <w:rPr>
          <w:rFonts w:ascii="Times New Roman" w:hAnsi="Times New Roman"/>
          <w:sz w:val="20"/>
          <w:szCs w:val="20"/>
        </w:rPr>
        <w:t xml:space="preserve"> </w:t>
      </w:r>
      <w:r>
        <w:rPr>
          <w:rFonts w:ascii="Times New Roman" w:hAnsi="Times New Roman"/>
          <w:sz w:val="20"/>
          <w:szCs w:val="20"/>
        </w:rPr>
        <w:t xml:space="preserve"> (accessed </w:t>
      </w:r>
      <w:r w:rsidR="009A2B17">
        <w:rPr>
          <w:rFonts w:ascii="Times New Roman" w:hAnsi="Times New Roman"/>
          <w:sz w:val="20"/>
          <w:szCs w:val="20"/>
        </w:rPr>
        <w:t>Sep 1, 2016</w:t>
      </w:r>
      <w:r>
        <w:rPr>
          <w:rFonts w:ascii="Times New Roman" w:hAnsi="Times New Roman"/>
          <w:sz w:val="20"/>
          <w:szCs w:val="20"/>
        </w:rPr>
        <w:t>).</w:t>
      </w:r>
    </w:p>
  </w:footnote>
  <w:footnote w:id="4">
    <w:p w14:paraId="133D3BAA" w14:textId="77777777" w:rsidR="004B4AA7" w:rsidRPr="00AB5A34" w:rsidRDefault="004B4AA7" w:rsidP="004B4AA7">
      <w:pPr>
        <w:pStyle w:val="FootnoteText"/>
        <w:ind w:firstLine="720"/>
        <w:rPr>
          <w:rFonts w:ascii="Times New Roman" w:hAnsi="Times New Roman"/>
          <w:sz w:val="20"/>
          <w:szCs w:val="20"/>
        </w:rPr>
      </w:pPr>
      <w:r w:rsidRPr="00AB5A34">
        <w:rPr>
          <w:rStyle w:val="FootnoteReference"/>
          <w:rFonts w:ascii="Times New Roman" w:hAnsi="Times New Roman"/>
          <w:sz w:val="20"/>
          <w:szCs w:val="20"/>
        </w:rPr>
        <w:footnoteRef/>
      </w:r>
      <w:r>
        <w:rPr>
          <w:rFonts w:ascii="Times New Roman" w:hAnsi="Times New Roman"/>
          <w:sz w:val="20"/>
          <w:szCs w:val="20"/>
        </w:rPr>
        <w:t xml:space="preserve"> Global Footprint Network, “National Footprint Accounts 2016 are out! Carbon makes up 60% of world’s Ecological Footprint,” </w:t>
      </w:r>
      <w:hyperlink r:id="rId4" w:history="1">
        <w:r w:rsidRPr="00F7048B">
          <w:rPr>
            <w:rStyle w:val="Hyperlink"/>
            <w:rFonts w:ascii="Times New Roman" w:hAnsi="Times New Roman"/>
            <w:sz w:val="20"/>
            <w:szCs w:val="20"/>
          </w:rPr>
          <w:t>http://www.footprintnetwork.org/en/index.php/GFN/blog/national_footprint_accounts_2016_carbon_makes_up_60_of_worlds_footprint</w:t>
        </w:r>
      </w:hyperlink>
      <w:r>
        <w:rPr>
          <w:rFonts w:ascii="Times New Roman" w:hAnsi="Times New Roman"/>
          <w:sz w:val="20"/>
          <w:szCs w:val="20"/>
        </w:rPr>
        <w:t xml:space="preserve"> (accessed ).</w:t>
      </w:r>
    </w:p>
  </w:footnote>
  <w:footnote w:id="5">
    <w:p w14:paraId="65659E45" w14:textId="77777777" w:rsidR="00C55456" w:rsidRPr="00143342" w:rsidRDefault="00C55456" w:rsidP="00C55456">
      <w:pPr>
        <w:pStyle w:val="FootnoteText"/>
        <w:rPr>
          <w:rFonts w:ascii="Times New Roman" w:eastAsiaTheme="minorEastAsia" w:hAnsi="Times New Roman"/>
          <w:sz w:val="20"/>
          <w:szCs w:val="20"/>
          <w:shd w:val="clear" w:color="auto" w:fill="FFFFFF"/>
          <w:lang w:eastAsia="zh-TW"/>
        </w:rPr>
      </w:pPr>
      <w:r w:rsidRPr="00143342">
        <w:rPr>
          <w:rFonts w:ascii="Times New Roman" w:hAnsi="Times New Roman"/>
          <w:sz w:val="20"/>
          <w:szCs w:val="20"/>
          <w:shd w:val="clear" w:color="auto" w:fill="FFFFFF"/>
          <w:vertAlign w:val="superscript"/>
        </w:rPr>
        <w:footnoteRef/>
      </w:r>
      <w:r w:rsidRPr="00A94F3D">
        <w:rPr>
          <w:rFonts w:ascii="Times New Roman" w:hAnsi="Times New Roman"/>
          <w:sz w:val="20"/>
          <w:szCs w:val="20"/>
          <w:shd w:val="clear" w:color="auto" w:fill="FFFFFF"/>
        </w:rPr>
        <w:t xml:space="preserve"> </w:t>
      </w:r>
      <w:r>
        <w:rPr>
          <w:rFonts w:ascii="Times New Roman" w:hAnsi="Times New Roman"/>
          <w:sz w:val="20"/>
          <w:szCs w:val="20"/>
          <w:shd w:val="clear" w:color="auto" w:fill="FFFFFF"/>
        </w:rPr>
        <w:t>Michael Borucke, et al.,</w:t>
      </w:r>
      <w:r w:rsidRPr="00A94F3D">
        <w:rPr>
          <w:rFonts w:ascii="Times New Roman" w:eastAsiaTheme="minorEastAsia" w:hAnsi="Times New Roman"/>
          <w:i/>
          <w:sz w:val="20"/>
          <w:szCs w:val="20"/>
          <w:shd w:val="clear" w:color="auto" w:fill="FFFFFF"/>
          <w:lang w:eastAsia="zh-TW"/>
        </w:rPr>
        <w:t xml:space="preserve"> “</w:t>
      </w:r>
      <w:r w:rsidRPr="00143342">
        <w:rPr>
          <w:rFonts w:ascii="Times New Roman" w:hAnsi="Times New Roman"/>
          <w:sz w:val="20"/>
          <w:szCs w:val="20"/>
          <w:shd w:val="clear" w:color="auto" w:fill="FFFFFF"/>
        </w:rPr>
        <w:t>Accounting for demand and supply of the biosphere’s regenerative capacity: The National Footprint Accounts’ underlying methodology and framework</w:t>
      </w:r>
      <w:r w:rsidRPr="00143342">
        <w:rPr>
          <w:rFonts w:ascii="Times New Roman" w:eastAsiaTheme="minorEastAsia" w:hAnsi="Times New Roman"/>
          <w:sz w:val="20"/>
          <w:szCs w:val="20"/>
          <w:shd w:val="clear" w:color="auto" w:fill="FFFFFF"/>
          <w:lang w:eastAsia="zh-TW"/>
        </w:rPr>
        <w:t xml:space="preserve">,” </w:t>
      </w:r>
      <w:r w:rsidRPr="00143342">
        <w:rPr>
          <w:rFonts w:ascii="Times New Roman" w:eastAsiaTheme="minorEastAsia" w:hAnsi="Times New Roman"/>
          <w:i/>
          <w:sz w:val="20"/>
          <w:szCs w:val="20"/>
          <w:shd w:val="clear" w:color="auto" w:fill="FFFFFF"/>
          <w:lang w:eastAsia="zh-TW"/>
        </w:rPr>
        <w:t>Ecological Indicators</w:t>
      </w:r>
      <w:r>
        <w:rPr>
          <w:rFonts w:ascii="Times New Roman" w:eastAsiaTheme="minorEastAsia" w:hAnsi="Times New Roman"/>
          <w:i/>
          <w:sz w:val="20"/>
          <w:szCs w:val="20"/>
          <w:shd w:val="clear" w:color="auto" w:fill="FFFFFF"/>
          <w:lang w:eastAsia="zh-TW"/>
        </w:rPr>
        <w:t xml:space="preserve"> </w:t>
      </w:r>
      <w:r>
        <w:rPr>
          <w:rFonts w:ascii="Times New Roman" w:eastAsiaTheme="minorEastAsia" w:hAnsi="Times New Roman"/>
          <w:sz w:val="20"/>
          <w:szCs w:val="20"/>
          <w:shd w:val="clear" w:color="auto" w:fill="FFFFFF"/>
          <w:lang w:eastAsia="zh-TW"/>
        </w:rPr>
        <w:t>24 (</w:t>
      </w:r>
      <w:r w:rsidRPr="00143342">
        <w:rPr>
          <w:rFonts w:ascii="Times New Roman" w:eastAsiaTheme="minorEastAsia" w:hAnsi="Times New Roman"/>
          <w:sz w:val="20"/>
          <w:szCs w:val="20"/>
          <w:shd w:val="clear" w:color="auto" w:fill="FFFFFF"/>
          <w:lang w:eastAsia="zh-TW"/>
        </w:rPr>
        <w:t>2012</w:t>
      </w:r>
      <w:r>
        <w:rPr>
          <w:rFonts w:ascii="Times New Roman" w:eastAsiaTheme="minorEastAsia" w:hAnsi="Times New Roman"/>
          <w:sz w:val="20"/>
          <w:szCs w:val="20"/>
          <w:shd w:val="clear" w:color="auto" w:fill="FFFFFF"/>
          <w:lang w:eastAsia="zh-TW"/>
        </w:rPr>
        <w:t xml:space="preserve">): 518-533. Available at </w:t>
      </w:r>
      <w:r w:rsidRPr="00143342">
        <w:rPr>
          <w:rFonts w:ascii="Times New Roman" w:eastAsiaTheme="minorEastAsia" w:hAnsi="Times New Roman"/>
          <w:sz w:val="20"/>
          <w:szCs w:val="20"/>
          <w:shd w:val="clear" w:color="auto" w:fill="FFFFFF"/>
          <w:lang w:eastAsia="zh-TW"/>
        </w:rPr>
        <w:t>http://www.footprintnetwork.org/images/article_uploads/NFA_Method_Paper_2011.pdf.</w:t>
      </w:r>
    </w:p>
  </w:footnote>
  <w:footnote w:id="6">
    <w:p w14:paraId="0675A705" w14:textId="77777777" w:rsidR="00C55456" w:rsidRPr="00A94F3D" w:rsidRDefault="00C55456" w:rsidP="00C55456">
      <w:pPr>
        <w:pStyle w:val="FootnoteText"/>
        <w:rPr>
          <w:rFonts w:ascii="Times New Roman" w:hAnsi="Times New Roman"/>
          <w:sz w:val="20"/>
          <w:szCs w:val="20"/>
        </w:rPr>
      </w:pPr>
      <w:r w:rsidRPr="00A94F3D">
        <w:rPr>
          <w:rStyle w:val="FootnoteReference"/>
          <w:rFonts w:ascii="Times New Roman" w:hAnsi="Times New Roman"/>
          <w:sz w:val="20"/>
          <w:szCs w:val="20"/>
        </w:rPr>
        <w:footnoteRef/>
      </w:r>
      <w:r>
        <w:rPr>
          <w:rFonts w:ascii="Times New Roman" w:hAnsi="Times New Roman"/>
          <w:sz w:val="20"/>
          <w:szCs w:val="20"/>
        </w:rPr>
        <w:t xml:space="preserve"> I</w:t>
      </w:r>
      <w:r w:rsidRPr="00A94F3D">
        <w:rPr>
          <w:rFonts w:ascii="Times New Roman" w:hAnsi="Times New Roman"/>
          <w:sz w:val="20"/>
          <w:szCs w:val="20"/>
        </w:rPr>
        <w:t>bid</w:t>
      </w:r>
      <w:r>
        <w:rPr>
          <w:rFonts w:ascii="Times New Roman" w:hAnsi="Times New Roman"/>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A81"/>
    <w:multiLevelType w:val="hybridMultilevel"/>
    <w:tmpl w:val="00BA2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56CAB"/>
    <w:multiLevelType w:val="hybridMultilevel"/>
    <w:tmpl w:val="EA44C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25204B"/>
    <w:multiLevelType w:val="hybridMultilevel"/>
    <w:tmpl w:val="33280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AA7"/>
    <w:rsid w:val="00056593"/>
    <w:rsid w:val="00075A62"/>
    <w:rsid w:val="00144F2B"/>
    <w:rsid w:val="002F6340"/>
    <w:rsid w:val="004B4AA7"/>
    <w:rsid w:val="005A7CC4"/>
    <w:rsid w:val="005D152F"/>
    <w:rsid w:val="005E5DC0"/>
    <w:rsid w:val="005E6491"/>
    <w:rsid w:val="007500B4"/>
    <w:rsid w:val="00760B4C"/>
    <w:rsid w:val="007E4FD5"/>
    <w:rsid w:val="007F26D7"/>
    <w:rsid w:val="008C3792"/>
    <w:rsid w:val="009A2B17"/>
    <w:rsid w:val="00AB6050"/>
    <w:rsid w:val="00C1158A"/>
    <w:rsid w:val="00C142E0"/>
    <w:rsid w:val="00C55456"/>
    <w:rsid w:val="00C8094D"/>
    <w:rsid w:val="00D009EF"/>
    <w:rsid w:val="00D16DA6"/>
    <w:rsid w:val="00ED33CC"/>
    <w:rsid w:val="00F03D59"/>
    <w:rsid w:val="00FC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B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4AA7"/>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uiPriority w:val="34"/>
    <w:qFormat/>
    <w:rsid w:val="004B4AA7"/>
    <w:pPr>
      <w:ind w:left="720"/>
    </w:pPr>
    <w:rPr>
      <w:rFonts w:ascii="Times" w:eastAsia="ヒラギノ角ゴ Pro W3" w:hAnsi="Times" w:cs="Times New Roman"/>
      <w:color w:val="000000"/>
      <w:sz w:val="20"/>
      <w:szCs w:val="20"/>
    </w:rPr>
  </w:style>
  <w:style w:type="character" w:styleId="Hyperlink">
    <w:name w:val="Hyperlink"/>
    <w:uiPriority w:val="99"/>
    <w:rsid w:val="004B4AA7"/>
    <w:rPr>
      <w:color w:val="0563C1"/>
      <w:u w:val="single"/>
    </w:rPr>
  </w:style>
  <w:style w:type="paragraph" w:styleId="FootnoteText">
    <w:name w:val="footnote text"/>
    <w:basedOn w:val="Normal"/>
    <w:link w:val="FootnoteTextChar"/>
    <w:uiPriority w:val="99"/>
    <w:rsid w:val="004B4AA7"/>
  </w:style>
  <w:style w:type="character" w:customStyle="1" w:styleId="FootnoteTextChar">
    <w:name w:val="Footnote Text Char"/>
    <w:basedOn w:val="DefaultParagraphFont"/>
    <w:link w:val="FootnoteText"/>
    <w:uiPriority w:val="99"/>
    <w:rsid w:val="004B4AA7"/>
    <w:rPr>
      <w:rFonts w:ascii="Lucida Grande" w:eastAsia="ヒラギノ角ゴ Pro W3" w:hAnsi="Lucida Grande" w:cs="Times New Roman"/>
      <w:color w:val="000000"/>
    </w:rPr>
  </w:style>
  <w:style w:type="character" w:styleId="FootnoteReference">
    <w:name w:val="footnote reference"/>
    <w:rsid w:val="004B4AA7"/>
    <w:rPr>
      <w:vertAlign w:val="superscript"/>
    </w:rPr>
  </w:style>
  <w:style w:type="character" w:styleId="CommentReference">
    <w:name w:val="annotation reference"/>
    <w:rsid w:val="004B4AA7"/>
    <w:rPr>
      <w:sz w:val="18"/>
      <w:szCs w:val="18"/>
    </w:rPr>
  </w:style>
  <w:style w:type="paragraph" w:styleId="CommentText">
    <w:name w:val="annotation text"/>
    <w:basedOn w:val="Normal"/>
    <w:link w:val="CommentTextChar"/>
    <w:rsid w:val="004B4AA7"/>
  </w:style>
  <w:style w:type="character" w:customStyle="1" w:styleId="CommentTextChar">
    <w:name w:val="Comment Text Char"/>
    <w:basedOn w:val="DefaultParagraphFont"/>
    <w:link w:val="CommentText"/>
    <w:rsid w:val="004B4AA7"/>
    <w:rPr>
      <w:rFonts w:ascii="Lucida Grande" w:eastAsia="ヒラギノ角ゴ Pro W3" w:hAnsi="Lucida Grande" w:cs="Times New Roman"/>
      <w:color w:val="000000"/>
    </w:rPr>
  </w:style>
  <w:style w:type="paragraph" w:styleId="BalloonText">
    <w:name w:val="Balloon Text"/>
    <w:basedOn w:val="Normal"/>
    <w:link w:val="BalloonTextChar"/>
    <w:uiPriority w:val="99"/>
    <w:semiHidden/>
    <w:unhideWhenUsed/>
    <w:rsid w:val="004B4AA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B4AA7"/>
    <w:rPr>
      <w:rFonts w:ascii="Times New Roman" w:eastAsia="ヒラギノ角ゴ Pro W3" w:hAnsi="Times New Roman" w:cs="Times New Roman"/>
      <w:color w:val="000000"/>
      <w:sz w:val="18"/>
      <w:szCs w:val="18"/>
    </w:rPr>
  </w:style>
  <w:style w:type="character" w:styleId="FollowedHyperlink">
    <w:name w:val="FollowedHyperlink"/>
    <w:basedOn w:val="DefaultParagraphFont"/>
    <w:uiPriority w:val="99"/>
    <w:semiHidden/>
    <w:unhideWhenUsed/>
    <w:rsid w:val="00D009EF"/>
    <w:rPr>
      <w:color w:val="954F72" w:themeColor="followedHyperlink"/>
      <w:u w:val="single"/>
    </w:rPr>
  </w:style>
  <w:style w:type="paragraph" w:styleId="ListParagraph">
    <w:name w:val="List Paragraph"/>
    <w:basedOn w:val="Normal"/>
    <w:uiPriority w:val="34"/>
    <w:qFormat/>
    <w:rsid w:val="00C55456"/>
    <w:pPr>
      <w:ind w:left="720"/>
      <w:contextualSpacing/>
    </w:pPr>
  </w:style>
  <w:style w:type="paragraph" w:styleId="CommentSubject">
    <w:name w:val="annotation subject"/>
    <w:basedOn w:val="CommentText"/>
    <w:next w:val="CommentText"/>
    <w:link w:val="CommentSubjectChar"/>
    <w:uiPriority w:val="99"/>
    <w:semiHidden/>
    <w:unhideWhenUsed/>
    <w:rsid w:val="00056593"/>
    <w:rPr>
      <w:b/>
      <w:bCs/>
      <w:sz w:val="20"/>
      <w:szCs w:val="20"/>
    </w:rPr>
  </w:style>
  <w:style w:type="character" w:customStyle="1" w:styleId="CommentSubjectChar">
    <w:name w:val="Comment Subject Char"/>
    <w:basedOn w:val="CommentTextChar"/>
    <w:link w:val="CommentSubject"/>
    <w:uiPriority w:val="99"/>
    <w:semiHidden/>
    <w:rsid w:val="00056593"/>
    <w:rPr>
      <w:rFonts w:ascii="Lucida Grande" w:eastAsia="ヒラギノ角ゴ Pro W3" w:hAnsi="Lucida Grande"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cbd.int/nbsap/default.shtml" TargetMode="External"/><Relationship Id="rId4" Type="http://schemas.openxmlformats.org/officeDocument/2006/relationships/hyperlink" Target="http://www.footprintnetwork.org/en/index.php/GFN/blog/national_footprint_accounts_2016_carbon_makes_up_60_of_worlds_footprint" TargetMode="External"/><Relationship Id="rId1" Type="http://schemas.openxmlformats.org/officeDocument/2006/relationships/hyperlink" Target="https://www.transparency.org/cpi2015/" TargetMode="External"/><Relationship Id="rId2" Type="http://schemas.openxmlformats.org/officeDocument/2006/relationships/hyperlink" Target="http://epi.yale.edu/sites/default/files/2016EPI_Ful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405</Words>
  <Characters>2312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2016-09-20T18:46:00Z</dcterms:created>
  <dcterms:modified xsi:type="dcterms:W3CDTF">2016-09-20T21:05:00Z</dcterms:modified>
</cp:coreProperties>
</file>