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TRUE FIDUCIARY VALUE PROPOSITION</w:t>
      </w:r>
    </w:p>
    <w:p>
      <w:pPr>
        <w:spacing w:after="400"/>
        <w:jc w:val="center"/>
      </w:pPr>
      <w:r>
        <w:rPr>
          <w:i/>
          <w:iCs/>
          <w:sz w:val="22"/>
          <w:szCs w:val="22"/>
        </w:rPr>
        <w:t xml:space="preserve">Two Strategic Approaches for Integration</w:t>
      </w:r>
    </w:p>
    <w:p>
      <w:pPr>
        <w:spacing w:after="600"/>
        <w:jc w:val="center"/>
      </w:pPr>
      <w:r>
        <w:rPr>
          <w:color w:val="3182ce"/>
          <w:sz w:val="20"/>
          <w:szCs w:val="20"/>
        </w:rPr>
        <w:t xml:space="preserve">youarepayingtoomuch.com</w:t>
      </w:r>
    </w:p>
    <w:p>
      <w:pPr>
        <w:pStyle w:val="Heading2"/>
      </w:pPr>
      <w:r>
        <w:t xml:space="preserve">Executive Summary</w:t>
      </w:r>
    </w:p>
    <w:p>
      <w:pPr>
        <w:spacing w:after="200"/>
      </w:pPr>
      <w:r>
        <w:t xml:space="preserve">Your current messaging establishes credentials (CFA/CFP), flat-fee model, and fiduciary commitment. However, one differentiator is being underutilized: </w:t>
      </w:r>
    </w:p>
    <w:p>
      <w:pPr>
        <w:shd w:fill="edf2f7" w:val="clear"/>
        <w:spacing w:before="200" w:after="200"/>
        <w:jc w:val="center"/>
      </w:pPr>
      <w:r>
        <w:rPr>
          <w:b/>
          <w:bCs/>
          <w:i/>
          <w:iCs/>
          <w:sz w:val="26"/>
          <w:szCs w:val="26"/>
        </w:rPr>
        <w:t xml:space="preserve">Clients can stay with their current broker/custodian.</w:t>
      </w:r>
    </w:p>
    <w:p>
      <w:pPr>
        <w:spacing w:after="400"/>
      </w:pPr>
      <w:r>
        <w:t xml:space="preserve">This is not just a convenience feature. It is </w:t>
      </w:r>
      <w:r>
        <w:rPr>
          <w:b/>
          <w:bCs/>
        </w:rPr>
        <w:t xml:space="preserve">irrefutable proof</w:t>
      </w:r>
      <w:r>
        <w:t xml:space="preserve"> of unconflicted advice. When an advisor has no financial incentive to move your assets, the only reason to recommend changes is because those changes benefit </w:t>
      </w:r>
      <w:r>
        <w:rPr>
          <w:i/>
          <w:iCs/>
        </w:rPr>
        <w:t xml:space="preserve">you</w:t>
      </w:r>
      <w:r>
        <w:t xml:space="preserve">.</w:t>
      </w:r>
    </w:p>
    <w:p>
      <w:pPr>
        <w:pStyle w:val="Heading2"/>
      </w:pPr>
      <w:r>
        <w:t xml:space="preserve">The Core Message</w:t>
      </w:r>
    </w:p>
    <w:p>
      <w:pPr>
        <w:spacing w:after="200"/>
      </w:pPr>
      <w:r>
        <w:rPr>
          <w:b/>
          <w:bCs/>
        </w:rPr>
        <w:t xml:space="preserve">The Claim: </w:t>
      </w:r>
      <w:r>
        <w:t xml:space="preserve">Objective. Independent. Product-agnostic. Unconflicted.</w:t>
      </w:r>
    </w:p>
    <w:p>
      <w:pPr>
        <w:spacing w:after="200"/>
      </w:pPr>
      <w:r>
        <w:rPr>
          <w:b/>
          <w:bCs/>
        </w:rPr>
        <w:t xml:space="preserve">The Proof: </w:t>
      </w:r>
      <w:r>
        <w:t xml:space="preserve">You can stay exactly where you are.</w:t>
      </w:r>
    </w:p>
    <w:p>
      <w:pPr>
        <w:spacing w:after="200"/>
      </w:pPr>
      <w:r>
        <w:rPr>
          <w:b/>
          <w:bCs/>
        </w:rPr>
        <w:t xml:space="preserve">The Logic: </w:t>
      </w:r>
      <w:r>
        <w:t xml:space="preserve">If I earned money by moving your assets or selling products, I would need you to transfer. I do not ask you to transfer. Therefore, I have no hidden incentive.</w:t>
      </w:r>
    </w:p>
    <w:p>
      <w:pPr>
        <w:spacing w:after="400"/>
      </w:pPr>
      <w:r>
        <w:rPr>
          <w:b/>
          <w:bCs/>
        </w:rPr>
        <w:t xml:space="preserve">Supporting Points:</w:t>
      </w:r>
    </w:p>
    <w:p>
      <w:pPr>
        <w:pStyle w:val="ListParagraph"/>
        <w:numPr>
          <w:ilvl w:val="0"/>
          <w:numId w:val="2"/>
        </w:numPr>
      </w:pPr>
      <w:r>
        <w:t xml:space="preserve">With Fidelity? Stay with Fidelity.</w:t>
      </w:r>
    </w:p>
    <w:p>
      <w:pPr>
        <w:pStyle w:val="ListParagraph"/>
        <w:numPr>
          <w:ilvl w:val="0"/>
          <w:numId w:val="2"/>
        </w:numPr>
      </w:pPr>
      <w:r>
        <w:t xml:space="preserve">With Schwab? Stay with Schwab.</w:t>
      </w:r>
    </w:p>
    <w:p>
      <w:pPr>
        <w:pStyle w:val="ListParagraph"/>
        <w:numPr>
          <w:ilvl w:val="0"/>
          <w:numId w:val="2"/>
        </w:numPr>
      </w:pPr>
      <w:r>
        <w:t xml:space="preserve">Interactive Brokers? Vanguard? E*TRADE? It does not matter.</w:t>
      </w:r>
    </w:p>
    <w:p>
      <w:pPr>
        <w:pStyle w:val="ListParagraph"/>
        <w:numPr>
          <w:ilvl w:val="0"/>
          <w:numId w:val="2"/>
        </w:numPr>
        <w:spacing w:after="200"/>
      </w:pPr>
      <w:r>
        <w:t xml:space="preserve">These platforms offer tremendous overlap: low-cost ETFs, mutual funds, and broad investment options.</w:t>
      </w:r>
    </w:p>
    <w:p>
      <w:pPr>
        <w:spacing w:after="600"/>
      </w:pPr>
      <w:r>
        <w:rPr>
          <w:b/>
          <w:bCs/>
          <w:i/>
          <w:iCs/>
        </w:rPr>
        <w:t xml:space="preserve">We work with you where you are.</w:t>
      </w:r>
    </w:p>
    <w:p>
      <w:r>
        <w:br w:type="page"/>
      </w:r>
    </w:p>
    <w:p>
      <w:pPr>
        <w:pStyle w:val="Heading1"/>
        <w:shd w:fill="2c5282" w:val="clear"/>
        <w:spacing w:before="0" w:after="300"/>
      </w:pPr>
      <w:r>
        <w:rPr>
          <w:color w:val="FFFFFF"/>
        </w:rPr>
        <w:t xml:space="preserve">VERSION A: Dedicated Section</w:t>
      </w:r>
    </w:p>
    <w:p>
      <w:pPr>
        <w:spacing w:after="300"/>
      </w:pPr>
      <w:r>
        <w:rPr>
          <w:b/>
          <w:bCs/>
        </w:rPr>
        <w:t xml:space="preserve">Strategy: </w:t>
      </w:r>
      <w:r>
        <w:t xml:space="preserve">Create a standalone page or prominent section that makes the "proof of fiduciary" argument front and center. This becomes a signature differentiator visitors remember.</w:t>
      </w:r>
    </w:p>
    <w:p>
      <w:pPr>
        <w:spacing w:after="200"/>
      </w:pPr>
      <w:r>
        <w:rPr>
          <w:b/>
          <w:bCs/>
        </w:rPr>
        <w:t xml:space="preserve">Placement Options:</w:t>
      </w:r>
    </w:p>
    <w:p>
      <w:pPr>
        <w:pStyle w:val="ListParagraph"/>
        <w:numPr>
          <w:ilvl w:val="0"/>
          <w:numId w:val="3"/>
        </w:numPr>
      </w:pPr>
      <w:r>
        <w:t xml:space="preserve">As a fourth pillar on the homepage (alongside Upgrade, Improve, Save)</w:t>
      </w:r>
    </w:p>
    <w:p>
      <w:pPr>
        <w:pStyle w:val="ListParagraph"/>
        <w:numPr>
          <w:ilvl w:val="0"/>
          <w:numId w:val="3"/>
        </w:numPr>
      </w:pPr>
      <w:r>
        <w:t xml:space="preserve">As the lead section on "Upgrade Your Advice" pages</w:t>
      </w:r>
    </w:p>
    <w:p>
      <w:pPr>
        <w:pStyle w:val="ListParagraph"/>
        <w:numPr>
          <w:ilvl w:val="0"/>
          <w:numId w:val="3"/>
        </w:numPr>
        <w:spacing w:after="400"/>
      </w:pPr>
      <w:r>
        <w:t xml:space="preserve">As its own dedicated page linked from the navigation</w:t>
      </w:r>
    </w:p>
    <w:p>
      <w:pPr>
        <w:pStyle w:val="Heading2"/>
      </w:pPr>
      <w:r>
        <w:t xml:space="preserve">Proposed Section: "Proof, Not Promises"</w:t>
      </w:r>
    </w:p>
    <w:p>
      <w:pPr>
        <w:spacing w:before="300" w:after="100"/>
        <w:jc w:val="center"/>
      </w:pPr>
      <w:r>
        <w:rPr>
          <w:color w:val="718096"/>
          <w:sz w:val="20"/>
          <w:szCs w:val="20"/>
        </w:rPr>
        <w:t xml:space="preserve">[Section Title]</w:t>
      </w:r>
    </w:p>
    <w:p>
      <w:pPr>
        <w:spacing w:after="300"/>
        <w:jc w:val="center"/>
      </w:pPr>
      <w:r>
        <w:rPr>
          <w:b/>
          <w:bCs/>
          <w:sz w:val="32"/>
          <w:szCs w:val="32"/>
        </w:rPr>
        <w:t xml:space="preserve">How Do You Know We Mean It?</w:t>
      </w:r>
    </w:p>
    <w:p>
      <w:pPr>
        <w:spacing w:after="200"/>
      </w:pPr>
      <w:r>
        <w:t xml:space="preserve">Every advisor claims to be a fiduciary. Every advisor says they put clients first. But claims are just words.</w:t>
      </w:r>
    </w:p>
    <w:p>
      <w:pPr>
        <w:spacing w:after="200"/>
      </w:pPr>
      <w:r>
        <w:rPr>
          <w:b/>
          <w:bCs/>
        </w:rPr>
        <w:t xml:space="preserve">Here is proof you can verify:</w:t>
      </w:r>
    </w:p>
    <w:p>
      <w:pPr>
        <w:shd w:fill="f0fff4" w:val="clear"/>
        <w:spacing w:before="200" w:after="200"/>
        <w:jc w:val="center"/>
      </w:pPr>
      <w:r>
        <w:rPr>
          <w:b/>
          <w:bCs/>
          <w:sz w:val="28"/>
          <w:szCs w:val="28"/>
        </w:rPr>
        <w:t xml:space="preserve">You can stay with your current broker.</w:t>
      </w:r>
    </w:p>
    <w:p>
      <w:pPr>
        <w:spacing w:after="400"/>
      </w:pPr>
      <w:r>
        <w:t xml:space="preserve">We do not require you to transfer your accounts. We do not earn money by moving your assets. We do not get paid when you buy or sell. </w:t>
      </w:r>
      <w:r>
        <w:rPr>
          <w:i/>
          <w:iCs/>
        </w:rPr>
        <w:t xml:space="preserve">The only reason we recommend anything is because it benefits you.</w:t>
      </w:r>
    </w:p>
    <w:p>
      <w:pPr>
        <w:pStyle w:val="Heading3"/>
      </w:pPr>
      <w:r>
        <w:t xml:space="preserve">Truly Platform-Agnostic</w:t>
      </w:r>
    </w:p>
    <w:p>
      <w:pPr>
        <w:pStyle w:val="ListParagraph"/>
        <w:numPr>
          <w:ilvl w:val="0"/>
          <w:numId w:val="2"/>
        </w:numPr>
      </w:pPr>
      <w:r>
        <w:rPr>
          <w:b/>
          <w:bCs/>
        </w:rPr>
        <w:t xml:space="preserve">Fidelity? </w:t>
      </w:r>
      <w:r>
        <w:t xml:space="preserve">Stay with Fidelity.</w:t>
      </w:r>
    </w:p>
    <w:p>
      <w:pPr>
        <w:pStyle w:val="ListParagraph"/>
        <w:numPr>
          <w:ilvl w:val="0"/>
          <w:numId w:val="2"/>
        </w:numPr>
      </w:pPr>
      <w:r>
        <w:rPr>
          <w:b/>
          <w:bCs/>
        </w:rPr>
        <w:t xml:space="preserve">Schwab? </w:t>
      </w:r>
      <w:r>
        <w:t xml:space="preserve">Stay with Schwab.</w:t>
      </w:r>
    </w:p>
    <w:p>
      <w:pPr>
        <w:pStyle w:val="ListParagraph"/>
        <w:numPr>
          <w:ilvl w:val="0"/>
          <w:numId w:val="2"/>
        </w:numPr>
      </w:pPr>
      <w:r>
        <w:rPr>
          <w:b/>
          <w:bCs/>
        </w:rPr>
        <w:t xml:space="preserve">Vanguard? </w:t>
      </w:r>
      <w:r>
        <w:t xml:space="preserve">Stay with Vanguard.</w:t>
      </w:r>
    </w:p>
    <w:p>
      <w:pPr>
        <w:pStyle w:val="ListParagraph"/>
        <w:numPr>
          <w:ilvl w:val="0"/>
          <w:numId w:val="2"/>
        </w:numPr>
      </w:pPr>
      <w:r>
        <w:rPr>
          <w:b/>
          <w:bCs/>
        </w:rPr>
        <w:t xml:space="preserve">Interactive Brokers? </w:t>
      </w:r>
      <w:r>
        <w:t xml:space="preserve">Stay there too.</w:t>
      </w:r>
    </w:p>
    <w:p>
      <w:pPr>
        <w:spacing w:after="400"/>
      </w:pPr>
      <w:r>
        <w:t xml:space="preserve">These major custodians offer extensive, overlapping investment options: no-cost and low-cost ETFs, index funds, and mutual funds. The differences between them rarely justify the disruption of switching. </w:t>
      </w:r>
      <w:r>
        <w:rPr>
          <w:i/>
          <w:iCs/>
        </w:rPr>
        <w:t xml:space="preserve">We build your strategy where you already are.</w:t>
      </w:r>
    </w:p>
    <w:p>
      <w:pPr>
        <w:pStyle w:val="Heading3"/>
      </w:pPr>
      <w:r>
        <w:t xml:space="preserve">Truly Product-Agnostic</w:t>
      </w:r>
    </w:p>
    <w:p>
      <w:pPr>
        <w:spacing w:after="400"/>
      </w:pPr>
      <w:r>
        <w:t xml:space="preserve">We have no inventory to move. No proprietary funds to push. No annuities to sell. No quotas to meet. When we recommend an investment, it is because the investment serves </w:t>
      </w:r>
      <w:r>
        <w:rPr>
          <w:i/>
          <w:iCs/>
        </w:rPr>
        <w:t xml:space="preserve">your</w:t>
      </w:r>
      <w:r>
        <w:t xml:space="preserve"> goals, not ours.</w:t>
      </w:r>
    </w:p>
    <w:p>
      <w:pPr>
        <w:pStyle w:val="Heading3"/>
      </w:pPr>
      <w:r>
        <w:t xml:space="preserve">Built Around Your Schedule</w:t>
      </w:r>
    </w:p>
    <w:p>
      <w:pPr>
        <w:spacing w:after="200"/>
      </w:pPr>
      <w:r>
        <w:t xml:space="preserve">We work with you when it is convenient for </w:t>
      </w:r>
      <w:r>
        <w:rPr>
          <w:i/>
          <w:iCs/>
        </w:rPr>
        <w:t xml:space="preserve">you</w:t>
      </w:r>
      <w:r>
        <w:t xml:space="preserve">. We offer rolling evening hours every week so you never have to take time off work to get financial advice.</w:t>
      </w:r>
    </w:p>
    <w:p>
      <w:pPr>
        <w:spacing w:after="100"/>
      </w:pPr>
      <w:r>
        <w:rPr>
          <w:b/>
          <w:bCs/>
        </w:rPr>
        <w:t xml:space="preserve">Standard Hours: </w:t>
      </w:r>
      <w:r>
        <w:t xml:space="preserve">Monday through Friday, 9:00 AM - 6:00 PM</w:t>
      </w:r>
    </w:p>
    <w:p>
      <w:pPr>
        <w:spacing w:after="100"/>
      </w:pPr>
      <w:r>
        <w:rPr>
          <w:b/>
          <w:bCs/>
        </w:rPr>
        <w:t xml:space="preserve">Extended Evening Hours </w:t>
      </w:r>
      <w:r>
        <w:t xml:space="preserve">(rotating weekly):</w:t>
      </w:r>
    </w:p>
    <w:p>
      <w:pPr>
        <w:pStyle w:val="ListParagraph"/>
        <w:numPr>
          <w:ilvl w:val="0"/>
          <w:numId w:val="2"/>
        </w:numPr>
      </w:pPr>
      <w:r>
        <w:t xml:space="preserve">Week 1: Monday 11:00 AM - 7:00 PM</w:t>
      </w:r>
    </w:p>
    <w:p>
      <w:pPr>
        <w:pStyle w:val="ListParagraph"/>
        <w:numPr>
          <w:ilvl w:val="0"/>
          <w:numId w:val="2"/>
        </w:numPr>
      </w:pPr>
      <w:r>
        <w:t xml:space="preserve">Week 2: Tuesday 11:00 AM - 7:00 PM</w:t>
      </w:r>
    </w:p>
    <w:p>
      <w:pPr>
        <w:pStyle w:val="ListParagraph"/>
        <w:numPr>
          <w:ilvl w:val="0"/>
          <w:numId w:val="2"/>
        </w:numPr>
      </w:pPr>
      <w:r>
        <w:t xml:space="preserve">Week 3: Wednesday 11:00 AM - 7:00 PM</w:t>
      </w:r>
    </w:p>
    <w:p>
      <w:pPr>
        <w:pStyle w:val="ListParagraph"/>
        <w:numPr>
          <w:ilvl w:val="0"/>
          <w:numId w:val="2"/>
        </w:numPr>
      </w:pPr>
      <w:r>
        <w:t xml:space="preserve">Week 4: Thursday 11:00 AM - 7:00 PM</w:t>
      </w:r>
    </w:p>
    <w:p>
      <w:pPr>
        <w:pStyle w:val="ListParagraph"/>
        <w:numPr>
          <w:ilvl w:val="0"/>
          <w:numId w:val="2"/>
        </w:numPr>
        <w:spacing w:after="400"/>
      </w:pPr>
      <w:r>
        <w:rPr>
          <w:b/>
          <w:bCs/>
        </w:rPr>
        <w:t xml:space="preserve">Monthly Saturday: </w:t>
      </w:r>
      <w:r>
        <w:t xml:space="preserve">10:00 AM - 4:00 PM</w:t>
      </w:r>
    </w:p>
    <w:p>
      <w:pPr>
        <w:shd w:fill="edf2f7" w:val="clear"/>
        <w:spacing w:before="300" w:after="600"/>
        <w:jc w:val="center"/>
      </w:pPr>
      <w:r>
        <w:rPr>
          <w:i/>
          <w:iCs/>
          <w:sz w:val="26"/>
          <w:szCs w:val="26"/>
        </w:rPr>
        <w:t xml:space="preserve">We meet you where you are, in every sense.</w:t>
      </w:r>
    </w:p>
    <w:p>
      <w:r>
        <w:br w:type="page"/>
      </w:r>
    </w:p>
    <w:p>
      <w:pPr>
        <w:pStyle w:val="Heading1"/>
        <w:shd w:fill="285e61" w:val="clear"/>
        <w:spacing w:before="0" w:after="300"/>
      </w:pPr>
      <w:r>
        <w:rPr>
          <w:color w:val="FFFFFF"/>
        </w:rPr>
        <w:t xml:space="preserve">VERSION B: Woven Throughout</w:t>
      </w:r>
    </w:p>
    <w:p>
      <w:pPr>
        <w:spacing w:after="300"/>
      </w:pPr>
      <w:r>
        <w:rPr>
          <w:b/>
          <w:bCs/>
        </w:rPr>
        <w:t xml:space="preserve">Strategy: </w:t>
      </w:r>
      <w:r>
        <w:t xml:space="preserve">Integrate the "stay where you are" proof point into multiple existing sections. This creates consistent reinforcement without requiring a major site restructure.</w:t>
      </w:r>
    </w:p>
    <w:p>
      <w:pPr>
        <w:pStyle w:val="Heading2"/>
      </w:pPr>
      <w:r>
        <w:t xml:space="preserve">Integration Point 1: The "My Model" Comparison Table</w:t>
      </w:r>
    </w:p>
    <w:p>
      <w:pPr>
        <w:spacing w:after="200"/>
      </w:pPr>
      <w:r>
        <w:rPr>
          <w:i/>
          <w:iCs/>
        </w:rPr>
        <w:t xml:space="preserve">Current (from Upgrade v1):</w:t>
      </w:r>
    </w:p>
    <w:p>
      <w:pPr>
        <w:shd w:fill="fef2f2" w:val="clear"/>
        <w:spacing w:after="200"/>
      </w:pPr>
      <w:r>
        <w:t xml:space="preserve">"Stay with your current custodian" appears as a single bullet.</w:t>
      </w:r>
    </w:p>
    <w:p>
      <w:pPr>
        <w:spacing w:after="200"/>
      </w:pPr>
      <w:r>
        <w:rPr>
          <w:i/>
          <w:iCs/>
        </w:rPr>
        <w:t xml:space="preserve">Proposed Enhancement:</w:t>
      </w:r>
    </w:p>
    <w:p>
      <w:pPr>
        <w:shd w:fill="f0fff4" w:val="clear"/>
        <w:spacing w:after="200"/>
      </w:pPr>
      <w:r>
        <w:t xml:space="preserve">Elevate the table and expand the "stay with your custodian" row into a highlighted callout immediately below. Add explanatory text:</w:t>
      </w:r>
    </w:p>
    <w:p>
      <w:pPr>
        <w:spacing w:after="400"/>
      </w:pPr>
      <w:r>
        <w:rPr>
          <w:i/>
          <w:iCs/>
        </w:rPr>
        <w:t xml:space="preserve">"This is not just a convenience. It is proof. If we earned money by moving your assets, we would ask you to transfer. We do not. Fidelity, Schwab, Vanguard, Interactive Brokers—stay exactly where you are. We build your strategy where you already invest."</w:t>
      </w:r>
    </w:p>
    <w:p>
      <w:pPr>
        <w:pStyle w:val="Heading2"/>
      </w:pPr>
      <w:r>
        <w:t xml:space="preserve">Integration Point 2: The "What This Looks Like in Practice" Section</w:t>
      </w:r>
    </w:p>
    <w:p>
      <w:pPr>
        <w:spacing w:after="200"/>
      </w:pPr>
      <w:r>
        <w:rPr>
          <w:i/>
          <w:iCs/>
        </w:rPr>
        <w:t xml:space="preserve">Current (from Upgrade v2):</w:t>
      </w:r>
    </w:p>
    <w:p>
      <w:pPr>
        <w:shd w:fill="fef2f2" w:val="clear"/>
        <w:spacing w:after="200"/>
      </w:pPr>
      <w:r>
        <w:t xml:space="preserve">Already has "Stay where you are" but lacks the logical proof.</w:t>
      </w:r>
    </w:p>
    <w:p>
      <w:pPr>
        <w:spacing w:after="200"/>
      </w:pPr>
      <w:r>
        <w:rPr>
          <w:i/>
          <w:iCs/>
        </w:rPr>
        <w:t xml:space="preserve">Proposed Enhancement:</w:t>
      </w:r>
    </w:p>
    <w:p>
      <w:pPr>
        <w:shd w:fill="f0fff4" w:val="clear"/>
        <w:spacing w:after="400"/>
      </w:pPr>
      <w:r>
        <w:t xml:space="preserve">Expand to: "Keep your custodian, your accounts, your broker. Fidelity, Schwab, Vanguard, or anyone else—we will work with what you have. </w:t>
      </w:r>
      <w:r>
        <w:rPr>
          <w:i/>
          <w:iCs/>
        </w:rPr>
        <w:t xml:space="preserve">This is how you know we mean unconflicted: we have no reason to move you.</w:t>
      </w:r>
      <w:r>
        <w:t xml:space="preserve">"</w:t>
      </w:r>
    </w:p>
    <w:p>
      <w:pPr>
        <w:pStyle w:val="Heading2"/>
      </w:pPr>
      <w:r>
        <w:t xml:space="preserve">Integration Point 3: The Fiduciary Comparison Table</w:t>
      </w:r>
    </w:p>
    <w:p>
      <w:pPr>
        <w:spacing w:after="200"/>
      </w:pPr>
      <w:r>
        <w:rPr>
          <w:i/>
          <w:iCs/>
        </w:rPr>
        <w:t xml:space="preserve">Current (from Upgrade v5):</w:t>
      </w:r>
    </w:p>
    <w:p>
      <w:pPr>
        <w:shd w:fill="fef2f2" w:val="clear"/>
        <w:spacing w:after="200"/>
      </w:pPr>
      <w:r>
        <w:t xml:space="preserve">Table compares Broker/Dealer vs. True Fiduciary but does not include custodian independence.</w:t>
      </w:r>
    </w:p>
    <w:p>
      <w:pPr>
        <w:spacing w:after="200"/>
      </w:pPr>
      <w:r>
        <w:rPr>
          <w:i/>
          <w:iCs/>
        </w:rPr>
        <w:t xml:space="preserve">Proposed Enhancement:</w:t>
      </w:r>
    </w:p>
    <w:p>
      <w:pPr>
        <w:shd w:fill="f0fff4" w:val="clear"/>
        <w:spacing w:after="200"/>
      </w:pPr>
      <w:r>
        <w:t xml:space="preserve">Add a new row to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e2e8f0" w:val="clear"/>
            <w:tcMar>
              <w:top w:type="dxa" w:w="100"/>
              <w:left w:type="dxa" w:w="120"/>
              <w:bottom w:type="dxa" w:w="100"/>
              <w:right w:type="dxa" w:w="120"/>
            </w:tcMar>
          </w:tcPr>
          <w:p>
            <w:r>
              <w:rPr>
                <w:b/>
                <w:bCs/>
              </w:rPr>
              <w:t xml:space="preserve">Feature</w:t>
            </w:r>
          </w:p>
        </w:tc>
        <w:tc>
          <w:tcPr>
            <w:tcW w:type="dxa" w:w="3000"/>
            <w:tcBorders>
              <w:top w:val="single" w:color="CCCCCC" w:sz="1"/>
              <w:left w:val="single" w:color="CCCCCC" w:sz="1"/>
              <w:bottom w:val="single" w:color="CCCCCC" w:sz="1"/>
              <w:right w:val="single" w:color="CCCCCC" w:sz="1"/>
            </w:tcBorders>
            <w:shd w:fill="e2e8f0" w:val="clear"/>
            <w:tcMar>
              <w:top w:type="dxa" w:w="100"/>
              <w:left w:type="dxa" w:w="120"/>
              <w:bottom w:type="dxa" w:w="100"/>
              <w:right w:type="dxa" w:w="120"/>
            </w:tcMar>
          </w:tcPr>
          <w:p>
            <w:r>
              <w:rPr>
                <w:b/>
                <w:bCs/>
              </w:rPr>
              <w:t xml:space="preserve">Broker/Dealer</w:t>
            </w:r>
          </w:p>
        </w:tc>
        <w:tc>
          <w:tcPr>
            <w:tcW w:type="dxa" w:w="3360"/>
            <w:tcBorders>
              <w:top w:val="single" w:color="CCCCCC" w:sz="1"/>
              <w:left w:val="single" w:color="CCCCCC" w:sz="1"/>
              <w:bottom w:val="single" w:color="CCCCCC" w:sz="1"/>
              <w:right w:val="single" w:color="CCCCCC" w:sz="1"/>
            </w:tcBorders>
            <w:shd w:fill="e2e8f0" w:val="clear"/>
            <w:tcMar>
              <w:top w:type="dxa" w:w="100"/>
              <w:left w:type="dxa" w:w="120"/>
              <w:bottom w:type="dxa" w:w="100"/>
              <w:right w:type="dxa" w:w="120"/>
            </w:tcMar>
          </w:tcPr>
          <w:p>
            <w:r>
              <w:rPr>
                <w:b/>
                <w:bCs/>
              </w:rPr>
              <w:t xml:space="preserve">True Fiduciary (Us)</w:t>
            </w:r>
          </w:p>
        </w:tc>
      </w:tr>
      <w:tr>
        <w:tc>
          <w:tcPr>
            <w:tcW w:type="dxa" w:w="3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rPr>
              <w:t xml:space="preserve">Custodian Requirement</w:t>
            </w:r>
          </w:p>
        </w:tc>
        <w:tc>
          <w:tcPr>
            <w:tcW w:type="dxa" w:w="3000"/>
            <w:tcBorders>
              <w:top w:val="single" w:color="CCCCCC" w:sz="1"/>
              <w:left w:val="single" w:color="CCCCCC" w:sz="1"/>
              <w:bottom w:val="single" w:color="CCCCCC" w:sz="1"/>
              <w:right w:val="single" w:color="CCCCCC" w:sz="1"/>
            </w:tcBorders>
            <w:shd w:fill="fef2f2" w:val="clear"/>
            <w:tcMar>
              <w:top w:type="dxa" w:w="100"/>
              <w:left w:type="dxa" w:w="120"/>
              <w:bottom w:type="dxa" w:w="100"/>
              <w:right w:type="dxa" w:w="120"/>
            </w:tcMar>
          </w:tcPr>
          <w:p>
            <w:r>
              <w:t xml:space="preserve">Must transfer assets to their platform</w:t>
            </w:r>
          </w:p>
        </w:tc>
        <w:tc>
          <w:tcPr>
            <w:tcW w:type="dxa" w:w="3360"/>
            <w:tcBorders>
              <w:top w:val="single" w:color="CCCCCC" w:sz="1"/>
              <w:left w:val="single" w:color="CCCCCC" w:sz="1"/>
              <w:bottom w:val="single" w:color="CCCCCC" w:sz="1"/>
              <w:right w:val="single" w:color="CCCCCC" w:sz="1"/>
            </w:tcBorders>
            <w:shd w:fill="f0fff4" w:val="clear"/>
            <w:tcMar>
              <w:top w:type="dxa" w:w="100"/>
              <w:left w:type="dxa" w:w="120"/>
              <w:bottom w:type="dxa" w:w="100"/>
              <w:right w:type="dxa" w:w="120"/>
            </w:tcMar>
          </w:tcPr>
          <w:p>
            <w:r>
              <w:rPr>
                <w:b/>
                <w:bCs/>
              </w:rPr>
              <w:t xml:space="preserve">Stay with Fidelity, Schwab, Vanguard, or anyone</w:t>
            </w:r>
          </w:p>
        </w:tc>
      </w:tr>
    </w:tbl>
    <w:p>
      <w:pPr>
        <w:spacing w:after="400"/>
      </w:pPr>
    </w:p>
    <w:p>
      <w:pPr>
        <w:pStyle w:val="Heading2"/>
      </w:pPr>
      <w:r>
        <w:t xml:space="preserve">Integration Point 4: The Fiduciary Oath Section</w:t>
      </w:r>
    </w:p>
    <w:p>
      <w:pPr>
        <w:spacing w:after="200"/>
      </w:pPr>
      <w:r>
        <w:rPr>
          <w:i/>
          <w:iCs/>
        </w:rPr>
        <w:t xml:space="preserve">Current (from Upgrade v5):</w:t>
      </w:r>
    </w:p>
    <w:p>
      <w:pPr>
        <w:shd w:fill="fef2f2" w:val="clear"/>
        <w:spacing w:after="200"/>
      </w:pPr>
      <w:r>
        <w:t xml:space="preserve">Four oath points focused on general fiduciary language.</w:t>
      </w:r>
    </w:p>
    <w:p>
      <w:pPr>
        <w:spacing w:after="200"/>
      </w:pPr>
      <w:r>
        <w:rPr>
          <w:i/>
          <w:iCs/>
        </w:rPr>
        <w:t xml:space="preserve">Proposed Enhancement:</w:t>
      </w:r>
    </w:p>
    <w:p>
      <w:pPr>
        <w:shd w:fill="f0fff4" w:val="clear"/>
        <w:spacing w:after="200"/>
      </w:pPr>
      <w:r>
        <w:t xml:space="preserve">Add a fifth point or a "Proof" callout after the oath:</w:t>
      </w:r>
    </w:p>
    <w:p>
      <w:pPr>
        <w:spacing w:after="400"/>
      </w:pPr>
      <w:r>
        <w:rPr>
          <w:i/>
          <w:iCs/>
        </w:rPr>
        <w:t xml:space="preserve">"As proof of these commitments: I do not require you to transfer your accounts. I do not earn money by moving your assets. Stay with Fidelity. Stay with Schwab. Stay wherever you are. I will work with you there."</w:t>
      </w:r>
    </w:p>
    <w:p>
      <w:pPr>
        <w:pStyle w:val="Heading2"/>
      </w:pPr>
      <w:r>
        <w:t xml:space="preserve">Integration Point 5: Add Hours to Contact or CTA Sections</w:t>
      </w:r>
    </w:p>
    <w:p>
      <w:pPr>
        <w:spacing w:after="200"/>
      </w:pPr>
      <w:r>
        <w:t xml:space="preserve">Near every "Schedule a Consultation" or "Get Started" call-to-action, add:</w:t>
      </w:r>
    </w:p>
    <w:p>
      <w:pPr>
        <w:shd w:fill="f0fff4" w:val="clear"/>
        <w:spacing w:after="600"/>
      </w:pPr>
      <w:r>
        <w:rPr>
          <w:i/>
          <w:iCs/>
        </w:rPr>
        <w:t xml:space="preserve">"We work around your schedule. Rolling evening hours and monthly Saturday availability—because your financial health should not require time off work."</w:t>
      </w:r>
    </w:p>
    <w:p>
      <w:r>
        <w:br w:type="page"/>
      </w:r>
    </w:p>
    <w:p>
      <w:pPr>
        <w:pStyle w:val="Heading1"/>
      </w:pPr>
      <w:r>
        <w:t xml:space="preserve">Recommendation</w:t>
      </w:r>
    </w:p>
    <w:p>
      <w:pPr>
        <w:spacing w:after="400"/>
      </w:pPr>
      <w:r>
        <w:t xml:space="preserve">Consider implementing </w:t>
      </w:r>
      <w:r>
        <w:rPr>
          <w:b/>
          <w:bCs/>
        </w:rPr>
        <w:t xml:space="preserve">both versions</w:t>
      </w:r>
      <w:r>
        <w:t xml:space="preserve">:</w:t>
      </w:r>
    </w:p>
    <w:p>
      <w:pPr>
        <w:pStyle w:val="ListParagraph"/>
        <w:numPr>
          <w:ilvl w:val="0"/>
          <w:numId w:val="3"/>
        </w:numPr>
      </w:pPr>
      <w:r>
        <w:rPr>
          <w:b/>
          <w:bCs/>
        </w:rPr>
        <w:t xml:space="preserve">Version A </w:t>
      </w:r>
      <w:r>
        <w:t xml:space="preserve">creates a memorable, dedicated section that visitors can reference and remember. It becomes your signature differentiator.</w:t>
      </w:r>
    </w:p>
    <w:p>
      <w:pPr>
        <w:pStyle w:val="ListParagraph"/>
        <w:numPr>
          <w:ilvl w:val="0"/>
          <w:numId w:val="3"/>
        </w:numPr>
        <w:spacing w:after="400"/>
      </w:pPr>
      <w:r>
        <w:rPr>
          <w:b/>
          <w:bCs/>
        </w:rPr>
        <w:t xml:space="preserve">Version B </w:t>
      </w:r>
      <w:r>
        <w:t xml:space="preserve">reinforces the message throughout the site, so the proof point appears wherever fiduciary claims are made.</w:t>
      </w:r>
    </w:p>
    <w:p>
      <w:pPr>
        <w:spacing w:after="400"/>
      </w:pPr>
      <w:r>
        <w:t xml:space="preserve">The combination ensures that no matter where someone lands on your site, they encounter the logical proof that distinguishes you from advisors who merely claim to be fiduciaries.</w:t>
      </w:r>
    </w:p>
    <w:p>
      <w:pPr>
        <w:pStyle w:val="Heading2"/>
      </w:pPr>
      <w:r>
        <w:t xml:space="preserve">Reminder: Jensen Huang "Task vs. Purpose" Framework</w:t>
      </w:r>
    </w:p>
    <w:p>
      <w:pPr>
        <w:spacing w:after="200"/>
      </w:pPr>
      <w:r>
        <w:t xml:space="preserve">As you develop the "About Me" or "How We Do It" sections, consider integrating the Jensen Huang distinction: Your </w:t>
      </w:r>
      <w:r>
        <w:rPr>
          <w:b/>
          <w:bCs/>
        </w:rPr>
        <w:t xml:space="preserve">PURPOSE</w:t>
      </w:r>
      <w:r>
        <w:t xml:space="preserve"> is helping clients achieve their goals. Compliance and paperwork are </w:t>
      </w:r>
      <w:r>
        <w:rPr>
          <w:b/>
          <w:bCs/>
        </w:rPr>
        <w:t xml:space="preserve">TASKS</w:t>
      </w:r>
      <w:r>
        <w:t xml:space="preserve"> that support the purpose, not the purpose itself.</w:t>
      </w:r>
    </w:p>
    <w:p>
      <w:pPr>
        <w:spacing w:after="200"/>
      </w:pPr>
      <w:r>
        <w:t xml:space="preserve">The flat-fee model and platform independence allow you to focus on client outcomes rather than administrative overhead. This philosophy reinforces the "True Fiduciary" message: your incentives are aligned with client success, not with moving assets or selling products.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2026-01-31T21:03:52.475Z</dcterms:created>
  <dcterms:modified xsi:type="dcterms:W3CDTF">2026-01-31T21:03:52.476Z</dcterms:modified>
</cp:coreProperties>
</file>

<file path=docProps/custom.xml><?xml version="1.0" encoding="utf-8"?>
<Properties xmlns="http://schemas.openxmlformats.org/officeDocument/2006/custom-properties" xmlns:vt="http://schemas.openxmlformats.org/officeDocument/2006/docPropsVTypes"/>
</file>