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3DCEF" w14:textId="77777777" w:rsidR="00E3373C" w:rsidRDefault="00000000">
      <w:pPr>
        <w:spacing w:after="0"/>
        <w:ind w:left="3"/>
        <w:jc w:val="center"/>
      </w:pPr>
      <w:r>
        <w:rPr>
          <w:noProof/>
        </w:rPr>
        <w:drawing>
          <wp:inline distT="0" distB="0" distL="0" distR="0" wp14:anchorId="2C9DFB09" wp14:editId="43B4597E">
            <wp:extent cx="695325" cy="69532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695325" cy="695325"/>
                    </a:xfrm>
                    <a:prstGeom prst="rect">
                      <a:avLst/>
                    </a:prstGeom>
                  </pic:spPr>
                </pic:pic>
              </a:graphicData>
            </a:graphic>
          </wp:inline>
        </w:drawing>
      </w:r>
      <w:r>
        <w:rPr>
          <w:rFonts w:ascii="Bookman Old Style" w:eastAsia="Bookman Old Style" w:hAnsi="Bookman Old Style" w:cs="Bookman Old Style"/>
          <w:i/>
          <w:sz w:val="24"/>
        </w:rPr>
        <w:t xml:space="preserve"> </w:t>
      </w:r>
    </w:p>
    <w:p w14:paraId="45AF911E" w14:textId="77777777" w:rsidR="00E3373C" w:rsidRDefault="00000000">
      <w:pPr>
        <w:spacing w:after="0"/>
        <w:ind w:right="74"/>
        <w:jc w:val="center"/>
      </w:pPr>
      <w:r>
        <w:rPr>
          <w:rFonts w:ascii="Bookman Old Style" w:eastAsia="Bookman Old Style" w:hAnsi="Bookman Old Style" w:cs="Bookman Old Style"/>
          <w:i/>
          <w:sz w:val="24"/>
        </w:rPr>
        <w:t xml:space="preserve">DOBROVOLJNO VATROGASNO DRUŠTVO SARVAŠ </w:t>
      </w:r>
    </w:p>
    <w:p w14:paraId="7B5F12FF" w14:textId="77777777" w:rsidR="00E3373C" w:rsidRDefault="00000000">
      <w:pPr>
        <w:spacing w:after="0"/>
      </w:pPr>
      <w:r>
        <w:rPr>
          <w:rFonts w:ascii="Bookman Old Style" w:eastAsia="Bookman Old Style" w:hAnsi="Bookman Old Style" w:cs="Bookman Old Style"/>
          <w:i/>
          <w:sz w:val="24"/>
        </w:rPr>
        <w:t xml:space="preserve"> </w:t>
      </w:r>
    </w:p>
    <w:p w14:paraId="0968BE72" w14:textId="77777777" w:rsidR="00E3373C" w:rsidRDefault="00000000">
      <w:pPr>
        <w:tabs>
          <w:tab w:val="center" w:pos="4537"/>
          <w:tab w:val="center" w:pos="8002"/>
        </w:tabs>
        <w:spacing w:after="0" w:line="267" w:lineRule="auto"/>
        <w:ind w:left="-15"/>
      </w:pPr>
      <w:r>
        <w:rPr>
          <w:rFonts w:ascii="Bookman Old Style" w:eastAsia="Bookman Old Style" w:hAnsi="Bookman Old Style" w:cs="Bookman Old Style"/>
          <w:i/>
          <w:sz w:val="24"/>
        </w:rPr>
        <w:t xml:space="preserve">31000 Osijek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OIB:48874677674 </w:t>
      </w:r>
    </w:p>
    <w:p w14:paraId="125ECDFE" w14:textId="5F76AC99" w:rsidR="00E3373C" w:rsidRDefault="00CA5D5D">
      <w:pPr>
        <w:tabs>
          <w:tab w:val="center" w:pos="4537"/>
          <w:tab w:val="center" w:pos="8256"/>
        </w:tabs>
        <w:spacing w:after="0" w:line="267" w:lineRule="auto"/>
        <w:ind w:left="-15"/>
      </w:pPr>
      <w:r>
        <w:rPr>
          <w:rFonts w:ascii="Bookman Old Style" w:eastAsia="Bookman Old Style" w:hAnsi="Bookman Old Style" w:cs="Bookman Old Style"/>
          <w:i/>
          <w:sz w:val="24"/>
        </w:rPr>
        <w:t>Ivana Mažuranića 31</w:t>
      </w:r>
      <w:r w:rsidR="00000000">
        <w:rPr>
          <w:rFonts w:ascii="Bookman Old Style" w:eastAsia="Bookman Old Style" w:hAnsi="Bookman Old Style" w:cs="Bookman Old Style"/>
          <w:i/>
          <w:sz w:val="24"/>
        </w:rPr>
        <w:tab/>
        <w:t xml:space="preserve"> </w:t>
      </w:r>
      <w:r w:rsidR="00000000">
        <w:rPr>
          <w:rFonts w:ascii="Bookman Old Style" w:eastAsia="Bookman Old Style" w:hAnsi="Bookman Old Style" w:cs="Bookman Old Style"/>
          <w:i/>
          <w:sz w:val="24"/>
        </w:rPr>
        <w:tab/>
        <w:t xml:space="preserve">RNO:0197128 </w:t>
      </w:r>
    </w:p>
    <w:p w14:paraId="5A11540D" w14:textId="77777777" w:rsidR="00E3373C" w:rsidRDefault="00000000">
      <w:pPr>
        <w:spacing w:after="56"/>
        <w:ind w:left="-29"/>
      </w:pPr>
      <w:r>
        <w:rPr>
          <w:noProof/>
        </w:rPr>
        <mc:AlternateContent>
          <mc:Choice Requires="wpg">
            <w:drawing>
              <wp:inline distT="0" distB="0" distL="0" distR="0" wp14:anchorId="78DA0CB7" wp14:editId="6026AF6E">
                <wp:extent cx="6252972" cy="56387"/>
                <wp:effectExtent l="0" t="0" r="0" b="0"/>
                <wp:docPr id="14779" name="Group 14779"/>
                <wp:cNvGraphicFramePr/>
                <a:graphic xmlns:a="http://schemas.openxmlformats.org/drawingml/2006/main">
                  <a:graphicData uri="http://schemas.microsoft.com/office/word/2010/wordprocessingGroup">
                    <wpg:wgp>
                      <wpg:cNvGrpSpPr/>
                      <wpg:grpSpPr>
                        <a:xfrm>
                          <a:off x="0" y="0"/>
                          <a:ext cx="6252972" cy="56387"/>
                          <a:chOff x="0" y="0"/>
                          <a:chExt cx="6252972" cy="56387"/>
                        </a:xfrm>
                      </wpg:grpSpPr>
                      <wps:wsp>
                        <wps:cNvPr id="18007" name="Shape 18007"/>
                        <wps:cNvSpPr/>
                        <wps:spPr>
                          <a:xfrm>
                            <a:off x="0" y="18287"/>
                            <a:ext cx="6252972" cy="38100"/>
                          </a:xfrm>
                          <a:custGeom>
                            <a:avLst/>
                            <a:gdLst/>
                            <a:ahLst/>
                            <a:cxnLst/>
                            <a:rect l="0" t="0" r="0" b="0"/>
                            <a:pathLst>
                              <a:path w="6252972" h="38100">
                                <a:moveTo>
                                  <a:pt x="0" y="0"/>
                                </a:moveTo>
                                <a:lnTo>
                                  <a:pt x="6252972" y="0"/>
                                </a:lnTo>
                                <a:lnTo>
                                  <a:pt x="625297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8008" name="Shape 18008"/>
                        <wps:cNvSpPr/>
                        <wps:spPr>
                          <a:xfrm>
                            <a:off x="0" y="0"/>
                            <a:ext cx="6252972" cy="9144"/>
                          </a:xfrm>
                          <a:custGeom>
                            <a:avLst/>
                            <a:gdLst/>
                            <a:ahLst/>
                            <a:cxnLst/>
                            <a:rect l="0" t="0" r="0" b="0"/>
                            <a:pathLst>
                              <a:path w="6252972" h="9144">
                                <a:moveTo>
                                  <a:pt x="0" y="0"/>
                                </a:moveTo>
                                <a:lnTo>
                                  <a:pt x="6252972" y="0"/>
                                </a:lnTo>
                                <a:lnTo>
                                  <a:pt x="625297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4779" style="width:492.36pt;height:4.43994pt;mso-position-horizontal-relative:char;mso-position-vertical-relative:line" coordsize="62529,563">
                <v:shape id="Shape 18009" style="position:absolute;width:62529;height:381;left:0;top:182;" coordsize="6252972,38100" path="m0,0l6252972,0l6252972,38100l0,38100l0,0">
                  <v:stroke weight="0pt" endcap="flat" joinstyle="miter" miterlimit="10" on="false" color="#000000" opacity="0"/>
                  <v:fill on="true" color="#622423"/>
                </v:shape>
                <v:shape id="Shape 18010" style="position:absolute;width:62529;height:91;left:0;top:0;" coordsize="6252972,9144" path="m0,0l6252972,0l6252972,9144l0,9144l0,0">
                  <v:stroke weight="0pt" endcap="flat" joinstyle="miter" miterlimit="10" on="false" color="#000000" opacity="0"/>
                  <v:fill on="true" color="#622423"/>
                </v:shape>
              </v:group>
            </w:pict>
          </mc:Fallback>
        </mc:AlternateContent>
      </w:r>
    </w:p>
    <w:p w14:paraId="65D25B33" w14:textId="77777777" w:rsidR="00E3373C" w:rsidRDefault="00000000">
      <w:pPr>
        <w:spacing w:after="220"/>
        <w:ind w:left="10"/>
        <w:jc w:val="center"/>
      </w:pPr>
      <w:r>
        <w:rPr>
          <w:rFonts w:ascii="Bookman Old Style" w:eastAsia="Bookman Old Style" w:hAnsi="Bookman Old Style" w:cs="Bookman Old Style"/>
          <w:b/>
          <w:i/>
          <w:sz w:val="24"/>
        </w:rPr>
        <w:t xml:space="preserve"> </w:t>
      </w:r>
    </w:p>
    <w:p w14:paraId="5201A39F" w14:textId="77777777" w:rsidR="00E3373C" w:rsidRDefault="00000000">
      <w:pPr>
        <w:spacing w:after="217"/>
        <w:ind w:left="10"/>
        <w:jc w:val="center"/>
      </w:pPr>
      <w:r>
        <w:rPr>
          <w:rFonts w:ascii="Bookman Old Style" w:eastAsia="Bookman Old Style" w:hAnsi="Bookman Old Style" w:cs="Bookman Old Style"/>
          <w:b/>
          <w:i/>
          <w:sz w:val="24"/>
        </w:rPr>
        <w:t xml:space="preserve"> </w:t>
      </w:r>
    </w:p>
    <w:p w14:paraId="23EEDA6A" w14:textId="77777777" w:rsidR="00E3373C" w:rsidRDefault="00000000">
      <w:pPr>
        <w:spacing w:after="217"/>
        <w:ind w:right="74"/>
        <w:jc w:val="center"/>
      </w:pPr>
      <w:r>
        <w:rPr>
          <w:rFonts w:ascii="Bookman Old Style" w:eastAsia="Bookman Old Style" w:hAnsi="Bookman Old Style" w:cs="Bookman Old Style"/>
          <w:b/>
          <w:i/>
          <w:sz w:val="24"/>
        </w:rPr>
        <w:t xml:space="preserve">BILJEŠKE UZ FINANCIJSKO IZVJEŠĆE </w:t>
      </w:r>
    </w:p>
    <w:p w14:paraId="1D3DCB35" w14:textId="77777777" w:rsidR="00E3373C" w:rsidRDefault="00000000">
      <w:pPr>
        <w:spacing w:after="220"/>
        <w:ind w:right="72"/>
        <w:jc w:val="center"/>
      </w:pPr>
      <w:r>
        <w:rPr>
          <w:rFonts w:ascii="Bookman Old Style" w:eastAsia="Bookman Old Style" w:hAnsi="Bookman Old Style" w:cs="Bookman Old Style"/>
          <w:i/>
          <w:sz w:val="24"/>
        </w:rPr>
        <w:t xml:space="preserve">za period od 01.01.2023.-31.12.2023. </w:t>
      </w:r>
    </w:p>
    <w:p w14:paraId="66A97AA8" w14:textId="77777777" w:rsidR="00E3373C" w:rsidRDefault="00000000">
      <w:pPr>
        <w:spacing w:after="218"/>
        <w:jc w:val="center"/>
      </w:pPr>
      <w:r>
        <w:rPr>
          <w:rFonts w:ascii="Bookman Old Style" w:eastAsia="Bookman Old Style" w:hAnsi="Bookman Old Style" w:cs="Bookman Old Style"/>
          <w:i/>
          <w:sz w:val="24"/>
        </w:rPr>
        <w:t xml:space="preserve"> </w:t>
      </w:r>
    </w:p>
    <w:p w14:paraId="0ED36709" w14:textId="79470044" w:rsidR="00E3373C" w:rsidRDefault="00000000">
      <w:pPr>
        <w:spacing w:after="208" w:line="267" w:lineRule="auto"/>
        <w:ind w:left="-5" w:right="59" w:hanging="10"/>
        <w:jc w:val="both"/>
      </w:pPr>
      <w:r>
        <w:rPr>
          <w:rFonts w:ascii="Bookman Old Style" w:eastAsia="Bookman Old Style" w:hAnsi="Bookman Old Style" w:cs="Bookman Old Style"/>
          <w:i/>
          <w:sz w:val="24"/>
        </w:rPr>
        <w:t>Dobrovoljno vatrogasno društvo Sarvaš, osnovano je 2011 godine, a u Registar neprofitnih organizacija upisano je sa datumom 16.01.2012. godine. Registrirano je za djelatnost pod šifrom 9499-Djelatnost ostalih članskih organizacija. Predsjedni</w:t>
      </w:r>
      <w:r w:rsidR="00CA5D5D">
        <w:rPr>
          <w:rFonts w:ascii="Bookman Old Style" w:eastAsia="Bookman Old Style" w:hAnsi="Bookman Old Style" w:cs="Bookman Old Style"/>
          <w:i/>
          <w:sz w:val="24"/>
        </w:rPr>
        <w:t>k</w:t>
      </w:r>
      <w:r>
        <w:rPr>
          <w:rFonts w:ascii="Bookman Old Style" w:eastAsia="Bookman Old Style" w:hAnsi="Bookman Old Style" w:cs="Bookman Old Style"/>
          <w:i/>
          <w:sz w:val="24"/>
        </w:rPr>
        <w:t xml:space="preserve"> DVD-a Sarvaš je Atila Vadoci, a Društvo ima   redovnih, pričuvnih, mladeži i pomažućih članova. Financira se iz prihoda po posebnim propisima iz proračuna grada Osijeka i Vatrogasne zajednice Osijeka. </w:t>
      </w:r>
    </w:p>
    <w:p w14:paraId="5F247C3D" w14:textId="77777777" w:rsidR="00E3373C" w:rsidRDefault="00000000">
      <w:pPr>
        <w:spacing w:after="208" w:line="267" w:lineRule="auto"/>
        <w:ind w:left="-5" w:right="59" w:hanging="10"/>
        <w:jc w:val="both"/>
      </w:pPr>
      <w:r>
        <w:rPr>
          <w:rFonts w:ascii="Bookman Old Style" w:eastAsia="Bookman Old Style" w:hAnsi="Bookman Old Style" w:cs="Bookman Old Style"/>
          <w:i/>
          <w:sz w:val="24"/>
        </w:rPr>
        <w:t xml:space="preserve">Financijsko izvještavanje neprofitnog računovodstva utemeljeno je na odredbama Zakona o financijskom poslovanju i računovodstvu neprofitnih organizacija (NN 121/14) i Pravilnika  o neprofitnom računovodstvu i računskom planu (NN 1/15; 25/17;  96/18 i 103/18). Sustav izvještavanja u neprofitnom računovodstvu  uređen je Pravilnikom o izvještavanju. </w:t>
      </w:r>
    </w:p>
    <w:p w14:paraId="15BF244D" w14:textId="77777777" w:rsidR="00E3373C" w:rsidRDefault="00000000">
      <w:pPr>
        <w:spacing w:after="8" w:line="267" w:lineRule="auto"/>
        <w:ind w:left="-5" w:right="59" w:hanging="10"/>
        <w:jc w:val="both"/>
      </w:pPr>
      <w:r>
        <w:rPr>
          <w:rFonts w:ascii="Bookman Old Style" w:eastAsia="Bookman Old Style" w:hAnsi="Bookman Old Style" w:cs="Bookman Old Style"/>
          <w:i/>
          <w:sz w:val="24"/>
        </w:rPr>
        <w:t xml:space="preserve">Vatrogasno društvo svoje poslovne knjige vodi u skladu sa čl.2.st.1. Uredbe o računovodstvu neprofitnih organizacija (NN 10/08 i 7/09), odnosno vodi dvojno knjigovodstvo po računskom planu za neprofitne organizacije.  </w:t>
      </w:r>
    </w:p>
    <w:p w14:paraId="60E06647" w14:textId="77777777" w:rsidR="00E3373C" w:rsidRDefault="00000000">
      <w:pPr>
        <w:spacing w:after="18"/>
      </w:pPr>
      <w:r>
        <w:rPr>
          <w:rFonts w:ascii="Bookman Old Style" w:eastAsia="Bookman Old Style" w:hAnsi="Bookman Old Style" w:cs="Bookman Old Style"/>
          <w:i/>
          <w:sz w:val="24"/>
        </w:rPr>
        <w:t xml:space="preserve"> </w:t>
      </w:r>
    </w:p>
    <w:p w14:paraId="1BC09680" w14:textId="77777777" w:rsidR="00E3373C" w:rsidRDefault="00000000">
      <w:pPr>
        <w:spacing w:after="8" w:line="267" w:lineRule="auto"/>
        <w:ind w:left="-5" w:right="59" w:hanging="10"/>
        <w:jc w:val="both"/>
      </w:pPr>
      <w:r>
        <w:rPr>
          <w:rFonts w:ascii="Bookman Old Style" w:eastAsia="Bookman Old Style" w:hAnsi="Bookman Old Style" w:cs="Bookman Old Style"/>
          <w:i/>
          <w:sz w:val="24"/>
        </w:rPr>
        <w:t xml:space="preserve">Imovina se  otpisuje propisanim stopama amortizacije određene za neprofitne organizacije. </w:t>
      </w:r>
    </w:p>
    <w:p w14:paraId="465A64C5" w14:textId="77777777" w:rsidR="00E3373C" w:rsidRDefault="00000000">
      <w:pPr>
        <w:spacing w:after="8" w:line="267" w:lineRule="auto"/>
        <w:ind w:left="-5" w:right="59" w:hanging="10"/>
        <w:jc w:val="both"/>
      </w:pPr>
      <w:r>
        <w:rPr>
          <w:rFonts w:ascii="Bookman Old Style" w:eastAsia="Bookman Old Style" w:hAnsi="Bookman Old Style" w:cs="Bookman Old Style"/>
          <w:i/>
          <w:sz w:val="24"/>
        </w:rPr>
        <w:t xml:space="preserve">U 2018. godini kupljeno je zemljište sa nekretninom u vrijednosti 229.675,57 kn, ili ukupno zemljište i građevinski </w:t>
      </w:r>
      <w:proofErr w:type="spellStart"/>
      <w:r>
        <w:rPr>
          <w:rFonts w:ascii="Bookman Old Style" w:eastAsia="Bookman Old Style" w:hAnsi="Bookman Old Style" w:cs="Bookman Old Style"/>
          <w:i/>
          <w:sz w:val="24"/>
        </w:rPr>
        <w:t>objekat</w:t>
      </w:r>
      <w:proofErr w:type="spellEnd"/>
      <w:r>
        <w:rPr>
          <w:rFonts w:ascii="Bookman Old Style" w:eastAsia="Bookman Old Style" w:hAnsi="Bookman Old Style" w:cs="Bookman Old Style"/>
          <w:i/>
          <w:sz w:val="24"/>
        </w:rPr>
        <w:t xml:space="preserve"> na zemljištu 35.000,00 EUR. Iako se objekti iskazuju odvojeno od zemljišta na kojem se nalaze, ako ih nije moguće razdvojiti, kao što je bilo u ovom slučaju, tada čitava vrijednost ide u imovinu. Na objektu je ulagano, a procjena objekta nije izvršena te nije bilo moguće iskazati realnu vrijednost kupljene nekretnine u odnosu na zemljište. Zato je u 2020. godini cijela vrijednost investicije u nekretninu i zemljište na kojoj se nekretnina nalazi prebačena sa konta 0511-Građevinski objekti u pripremi, na konto 0212 Poslovni objekti.  </w:t>
      </w:r>
    </w:p>
    <w:p w14:paraId="14D8C338" w14:textId="77777777" w:rsidR="00E3373C" w:rsidRDefault="00000000">
      <w:pPr>
        <w:spacing w:after="219"/>
      </w:pPr>
      <w:r>
        <w:rPr>
          <w:rFonts w:ascii="Bookman Old Style" w:eastAsia="Bookman Old Style" w:hAnsi="Bookman Old Style" w:cs="Bookman Old Style"/>
          <w:i/>
          <w:sz w:val="24"/>
        </w:rPr>
        <w:t xml:space="preserve"> </w:t>
      </w:r>
    </w:p>
    <w:p w14:paraId="5AC5F32A" w14:textId="77777777" w:rsidR="00E3373C" w:rsidRDefault="00000000">
      <w:pPr>
        <w:spacing w:after="217"/>
      </w:pPr>
      <w:r>
        <w:rPr>
          <w:rFonts w:ascii="Bookman Old Style" w:eastAsia="Bookman Old Style" w:hAnsi="Bookman Old Style" w:cs="Bookman Old Style"/>
          <w:b/>
          <w:i/>
          <w:sz w:val="24"/>
        </w:rPr>
        <w:t xml:space="preserve"> </w:t>
      </w:r>
    </w:p>
    <w:p w14:paraId="770E7875" w14:textId="77777777" w:rsidR="00E3373C" w:rsidRDefault="00000000">
      <w:pPr>
        <w:spacing w:after="0"/>
      </w:pPr>
      <w:r>
        <w:rPr>
          <w:rFonts w:ascii="Bookman Old Style" w:eastAsia="Bookman Old Style" w:hAnsi="Bookman Old Style" w:cs="Bookman Old Style"/>
          <w:b/>
          <w:i/>
          <w:sz w:val="24"/>
        </w:rPr>
        <w:lastRenderedPageBreak/>
        <w:t xml:space="preserve"> </w:t>
      </w:r>
    </w:p>
    <w:p w14:paraId="0130176B" w14:textId="77777777" w:rsidR="00E3373C" w:rsidRDefault="00000000">
      <w:pPr>
        <w:spacing w:after="217"/>
      </w:pPr>
      <w:r>
        <w:rPr>
          <w:rFonts w:ascii="Bookman Old Style" w:eastAsia="Bookman Old Style" w:hAnsi="Bookman Old Style" w:cs="Bookman Old Style"/>
          <w:b/>
          <w:i/>
          <w:sz w:val="24"/>
        </w:rPr>
        <w:t xml:space="preserve"> </w:t>
      </w:r>
    </w:p>
    <w:p w14:paraId="2CFF218A" w14:textId="77777777" w:rsidR="00E3373C" w:rsidRDefault="00000000">
      <w:pPr>
        <w:spacing w:after="220"/>
      </w:pPr>
      <w:r>
        <w:rPr>
          <w:rFonts w:ascii="Bookman Old Style" w:eastAsia="Bookman Old Style" w:hAnsi="Bookman Old Style" w:cs="Bookman Old Style"/>
          <w:b/>
          <w:i/>
          <w:sz w:val="24"/>
        </w:rPr>
        <w:t xml:space="preserve">BILJEŠKE UZ BILANCU </w:t>
      </w:r>
    </w:p>
    <w:p w14:paraId="52B6716A" w14:textId="77777777" w:rsidR="00E3373C" w:rsidRDefault="00000000">
      <w:pPr>
        <w:pStyle w:val="Naslov1"/>
        <w:ind w:left="-5"/>
      </w:pPr>
      <w:r>
        <w:t xml:space="preserve">IMOVINA-AOP-001 </w:t>
      </w:r>
    </w:p>
    <w:p w14:paraId="3C29E363"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Nabavna vrijednost imovine DVD Sarvaš je 118.794,78 EUR. Tokom 2023. godine nabavljeno je nove imovine u vrijednosti 10.465,98 EUR. Ukupan ispravak vrijednosti nabavljene imovine je 46.210,05 EUR, od čega se na 2023 godinu odnosi 5.960,12 EUR, a obračunavan je po propisanim stopama amortizacije. Na kraju godine knjigovodstvena vrijednost imovine je 72.584,73 EUR. U 2023. godini najveća investicija u imovinu DVD Sarvaš je nabava vozila u vrijednosti od 8.000,00 EUR.  </w:t>
      </w:r>
    </w:p>
    <w:p w14:paraId="2E05101A" w14:textId="77777777" w:rsidR="00E3373C" w:rsidRDefault="00000000">
      <w:pPr>
        <w:pStyle w:val="Naslov1"/>
        <w:ind w:left="-5"/>
      </w:pPr>
      <w:r>
        <w:t xml:space="preserve">SITAN INVENTAR-AOP-051 </w:t>
      </w:r>
    </w:p>
    <w:p w14:paraId="134785B2"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Vrijednost sitnog inventara s kojim DVD raspolaže iznosi 37.389,67 EUR. Nabavljen sitan inventar (do vrijednosti 650,00 EUR) odmah je i otpisan, a potreban je za djelatnost za koju je Udruga registrirana. Za stvari za koje se procjeni da će se koristiti kroz duži vijek trajanja, bez obzira što su do 650,00 EUR vrijednosti, knjižene su u imovinu kao npr. vatrogasni aparati, naprtnjače i slično.  </w:t>
      </w:r>
    </w:p>
    <w:p w14:paraId="39E0C5BF" w14:textId="77777777" w:rsidR="00E3373C" w:rsidRDefault="00000000">
      <w:pPr>
        <w:pStyle w:val="Naslov1"/>
        <w:ind w:left="-5"/>
      </w:pPr>
      <w:r>
        <w:t xml:space="preserve">FINANCIJSKA IMOVINA-AOP-074    </w:t>
      </w:r>
    </w:p>
    <w:p w14:paraId="7F0F002F"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Na kraju godine na žiro-računu DVD Sarvaš ostalo je sredstava u iznosu od 12.077,19 EUR, a u blagajni 16,60 EUR.  Na početku godine na računu je bilo sredstava u iznosu od 18.258,06 EUR. Priljevi na žiro-račun u toku godine su iznosili 45.559,86 EUR, a isplate sa računa su bile 51.537,82 EUR. Blagajna je ostvarila promet u iznosu od 336,31 EUR, a na kraju godine saldo blagajne je 16,60 EUR. U 2023. godini DVD Sarvaš je ostvarilo višak prihoda od 1.082,78 EUR. </w:t>
      </w:r>
    </w:p>
    <w:p w14:paraId="7D86F612" w14:textId="77777777" w:rsidR="00E3373C" w:rsidRDefault="00000000">
      <w:pPr>
        <w:spacing w:after="208" w:line="267" w:lineRule="auto"/>
        <w:ind w:left="-5" w:right="59" w:hanging="10"/>
        <w:jc w:val="both"/>
      </w:pPr>
      <w:r>
        <w:rPr>
          <w:rFonts w:ascii="Bookman Old Style" w:eastAsia="Bookman Old Style" w:hAnsi="Bookman Old Style" w:cs="Bookman Old Style"/>
          <w:i/>
          <w:sz w:val="24"/>
        </w:rPr>
        <w:t xml:space="preserve">Na grafikonu je prikaz priljeva novčanih sredstava koji je označen plavom bojom, odljev novčanih sredstava, odnosno isplate sa računa su označene crvenom bojom, a žuta boja predstavlja saldo novčanih sredstava. U prometu je uzeto u obzir i početno stanje žiro računa,  te priljevi na račun u 2023. godini.  </w:t>
      </w:r>
    </w:p>
    <w:p w14:paraId="3D9AF911"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Promet blagajne je bio uplate 150,00 EUR, sa početnim stanjem blagajne od 202,91 EUR  to iznosi 352,91 EUR, a isplate gotovinske su bile 336,31 EUR. </w:t>
      </w:r>
    </w:p>
    <w:p w14:paraId="7D51C3A2" w14:textId="77777777" w:rsidR="00E3373C" w:rsidRDefault="00000000">
      <w:pPr>
        <w:spacing w:after="208" w:line="267" w:lineRule="auto"/>
        <w:ind w:left="-5" w:right="59" w:hanging="10"/>
        <w:jc w:val="both"/>
      </w:pPr>
      <w:r>
        <w:rPr>
          <w:rFonts w:ascii="Bookman Old Style" w:eastAsia="Bookman Old Style" w:hAnsi="Bookman Old Style" w:cs="Bookman Old Style"/>
          <w:i/>
          <w:sz w:val="24"/>
        </w:rPr>
        <w:t xml:space="preserve">Prikaz priljeva i odljeva sredstava sa računa prikazani su u slijedećem grafikonu: </w:t>
      </w:r>
    </w:p>
    <w:p w14:paraId="44CB227A" w14:textId="77777777" w:rsidR="00E3373C" w:rsidRDefault="00000000">
      <w:pPr>
        <w:spacing w:after="220"/>
      </w:pPr>
      <w:r>
        <w:rPr>
          <w:rFonts w:ascii="Bookman Old Style" w:eastAsia="Bookman Old Style" w:hAnsi="Bookman Old Style" w:cs="Bookman Old Style"/>
          <w:i/>
          <w:sz w:val="24"/>
        </w:rPr>
        <w:t xml:space="preserve"> </w:t>
      </w:r>
    </w:p>
    <w:p w14:paraId="3FF66947" w14:textId="77777777" w:rsidR="00E3373C" w:rsidRDefault="00000000">
      <w:pPr>
        <w:pStyle w:val="Naslov1"/>
        <w:ind w:left="-5"/>
      </w:pPr>
      <w:r>
        <w:t xml:space="preserve">OBAVEZE I VLASTITI IZVORI-AOP-146 </w:t>
      </w:r>
    </w:p>
    <w:p w14:paraId="6B31A327" w14:textId="77777777" w:rsidR="00E3373C" w:rsidRDefault="00000000">
      <w:pPr>
        <w:spacing w:after="208" w:line="267" w:lineRule="auto"/>
        <w:ind w:left="-5" w:right="59" w:hanging="10"/>
        <w:jc w:val="both"/>
      </w:pPr>
      <w:r>
        <w:rPr>
          <w:rFonts w:ascii="Bookman Old Style" w:eastAsia="Bookman Old Style" w:hAnsi="Bookman Old Style" w:cs="Bookman Old Style"/>
          <w:i/>
          <w:sz w:val="24"/>
        </w:rPr>
        <w:t xml:space="preserve">Obveze su 291,54 EUR i odnose se na obveze prema dobavljačima u iznosu od 34,59 EUR i naknade osobama izvan radnog odnosa-članova DVD-a u iznosu od 56,11 EUR. i obveze za gotovinske namire troškova u iznosu od 200,84 EUR. Saldo na kontu dobavljača je većinom podmiren u 2024. godini a odnosi se na račune za električnu energiju, vodu, komunalnu naknadu i sl. </w:t>
      </w:r>
    </w:p>
    <w:p w14:paraId="6A4D119E" w14:textId="77777777" w:rsidR="00E3373C" w:rsidRDefault="00000000">
      <w:pPr>
        <w:spacing w:after="220"/>
      </w:pPr>
      <w:r>
        <w:rPr>
          <w:rFonts w:ascii="Bookman Old Style" w:eastAsia="Bookman Old Style" w:hAnsi="Bookman Old Style" w:cs="Bookman Old Style"/>
          <w:i/>
          <w:sz w:val="24"/>
        </w:rPr>
        <w:t xml:space="preserve"> </w:t>
      </w:r>
    </w:p>
    <w:p w14:paraId="29A9BD61" w14:textId="77777777" w:rsidR="00E3373C" w:rsidRDefault="00000000">
      <w:pPr>
        <w:spacing w:after="218"/>
        <w:ind w:left="-5" w:hanging="10"/>
      </w:pPr>
      <w:r>
        <w:rPr>
          <w:noProof/>
        </w:rPr>
        <w:lastRenderedPageBreak/>
        <w:drawing>
          <wp:anchor distT="0" distB="0" distL="114300" distR="114300" simplePos="0" relativeHeight="251658240" behindDoc="0" locked="0" layoutInCell="1" allowOverlap="0" wp14:anchorId="4724FEFB" wp14:editId="1DDB6E97">
            <wp:simplePos x="0" y="0"/>
            <wp:positionH relativeFrom="margin">
              <wp:posOffset>-90805</wp:posOffset>
            </wp:positionH>
            <wp:positionV relativeFrom="margin">
              <wp:posOffset>-312420</wp:posOffset>
            </wp:positionV>
            <wp:extent cx="6678930" cy="4787900"/>
            <wp:effectExtent l="0" t="0" r="7620" b="0"/>
            <wp:wrapTopAndBottom/>
            <wp:docPr id="17703" name="Picture 17703"/>
            <wp:cNvGraphicFramePr/>
            <a:graphic xmlns:a="http://schemas.openxmlformats.org/drawingml/2006/main">
              <a:graphicData uri="http://schemas.openxmlformats.org/drawingml/2006/picture">
                <pic:pic xmlns:pic="http://schemas.openxmlformats.org/drawingml/2006/picture">
                  <pic:nvPicPr>
                    <pic:cNvPr id="17703" name="Picture 17703"/>
                    <pic:cNvPicPr/>
                  </pic:nvPicPr>
                  <pic:blipFill>
                    <a:blip r:embed="rId8"/>
                    <a:stretch>
                      <a:fillRect/>
                    </a:stretch>
                  </pic:blipFill>
                  <pic:spPr>
                    <a:xfrm>
                      <a:off x="0" y="0"/>
                      <a:ext cx="6678930" cy="4787900"/>
                    </a:xfrm>
                    <a:prstGeom prst="rect">
                      <a:avLst/>
                    </a:prstGeom>
                  </pic:spPr>
                </pic:pic>
              </a:graphicData>
            </a:graphic>
            <wp14:sizeRelH relativeFrom="margin">
              <wp14:pctWidth>0</wp14:pctWidth>
            </wp14:sizeRelH>
          </wp:anchor>
        </w:drawing>
      </w:r>
      <w:r>
        <w:rPr>
          <w:rFonts w:ascii="Bookman Old Style" w:eastAsia="Bookman Old Style" w:hAnsi="Bookman Old Style" w:cs="Bookman Old Style"/>
          <w:b/>
          <w:i/>
          <w:sz w:val="24"/>
        </w:rPr>
        <w:t xml:space="preserve">BILJEŠKE UZ IZVJEŠTAJ O PRIHODIMA I RASHODIMA </w:t>
      </w:r>
    </w:p>
    <w:p w14:paraId="6FD30A0D" w14:textId="77777777" w:rsidR="00E3373C" w:rsidRDefault="00000000">
      <w:pPr>
        <w:pStyle w:val="Naslov1"/>
        <w:ind w:left="-5"/>
      </w:pPr>
      <w:r>
        <w:t xml:space="preserve">PRIHODI-AOP-001 </w:t>
      </w:r>
    </w:p>
    <w:p w14:paraId="0E35906F"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Ukupni prihodi u 2023. godini iznosili su 41.487,08 EUR. </w:t>
      </w:r>
    </w:p>
    <w:p w14:paraId="37F2A19B"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Najveći udio u prihodima imaju prihodi po posebnim propisima iz proračuna grada koji iznose 37.591,49 EUR, ili 90,62 % ukupnih prihoda. Ostalo su prihodi od naknada šteta. </w:t>
      </w:r>
    </w:p>
    <w:p w14:paraId="722E8262" w14:textId="77777777" w:rsidR="00E3373C" w:rsidRDefault="00000000">
      <w:pPr>
        <w:spacing w:after="217"/>
      </w:pPr>
      <w:r>
        <w:rPr>
          <w:rFonts w:ascii="Bookman Old Style" w:eastAsia="Bookman Old Style" w:hAnsi="Bookman Old Style" w:cs="Bookman Old Style"/>
          <w:i/>
          <w:sz w:val="24"/>
        </w:rPr>
        <w:t xml:space="preserve"> </w:t>
      </w:r>
    </w:p>
    <w:p w14:paraId="7D4CE9F3" w14:textId="77777777" w:rsidR="00E3373C" w:rsidRDefault="00000000">
      <w:pPr>
        <w:spacing w:after="0"/>
      </w:pPr>
      <w:r>
        <w:rPr>
          <w:rFonts w:ascii="Bookman Old Style" w:eastAsia="Bookman Old Style" w:hAnsi="Bookman Old Style" w:cs="Bookman Old Style"/>
          <w:i/>
          <w:sz w:val="24"/>
        </w:rPr>
        <w:t xml:space="preserve"> </w:t>
      </w:r>
    </w:p>
    <w:p w14:paraId="0AB81554" w14:textId="77777777" w:rsidR="00E3373C" w:rsidRDefault="00000000">
      <w:pPr>
        <w:spacing w:after="217"/>
      </w:pPr>
      <w:r>
        <w:rPr>
          <w:rFonts w:ascii="Bookman Old Style" w:eastAsia="Bookman Old Style" w:hAnsi="Bookman Old Style" w:cs="Bookman Old Style"/>
          <w:i/>
          <w:sz w:val="24"/>
        </w:rPr>
        <w:t xml:space="preserve"> </w:t>
      </w:r>
    </w:p>
    <w:p w14:paraId="5316E958" w14:textId="4AB1E2AE"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Prikaz strukture prihoda: sl.1 </w:t>
      </w:r>
    </w:p>
    <w:p w14:paraId="3102A6CB" w14:textId="43C705D5" w:rsidR="00E3373C" w:rsidRDefault="00000000">
      <w:pPr>
        <w:spacing w:before="291" w:after="217"/>
      </w:pPr>
      <w:r>
        <w:rPr>
          <w:rFonts w:ascii="Bookman Old Style" w:eastAsia="Bookman Old Style" w:hAnsi="Bookman Old Style" w:cs="Bookman Old Style"/>
          <w:i/>
          <w:sz w:val="24"/>
        </w:rPr>
        <w:t xml:space="preserve"> </w:t>
      </w:r>
    </w:p>
    <w:p w14:paraId="4DC57AB5" w14:textId="45378E80" w:rsidR="00E3373C" w:rsidRDefault="001E663A">
      <w:pPr>
        <w:spacing w:after="220"/>
      </w:pPr>
      <w:r>
        <w:rPr>
          <w:noProof/>
        </w:rPr>
        <w:lastRenderedPageBreak/>
        <w:drawing>
          <wp:anchor distT="0" distB="0" distL="114300" distR="114300" simplePos="0" relativeHeight="251659264" behindDoc="0" locked="0" layoutInCell="1" allowOverlap="0" wp14:anchorId="250C1E78" wp14:editId="5546310E">
            <wp:simplePos x="0" y="0"/>
            <wp:positionH relativeFrom="page">
              <wp:posOffset>399415</wp:posOffset>
            </wp:positionH>
            <wp:positionV relativeFrom="page">
              <wp:posOffset>1104265</wp:posOffset>
            </wp:positionV>
            <wp:extent cx="6733033" cy="4788408"/>
            <wp:effectExtent l="0" t="0" r="0" b="0"/>
            <wp:wrapTopAndBottom/>
            <wp:docPr id="17705" name="Picture 17705"/>
            <wp:cNvGraphicFramePr/>
            <a:graphic xmlns:a="http://schemas.openxmlformats.org/drawingml/2006/main">
              <a:graphicData uri="http://schemas.openxmlformats.org/drawingml/2006/picture">
                <pic:pic xmlns:pic="http://schemas.openxmlformats.org/drawingml/2006/picture">
                  <pic:nvPicPr>
                    <pic:cNvPr id="17705" name="Picture 17705"/>
                    <pic:cNvPicPr/>
                  </pic:nvPicPr>
                  <pic:blipFill>
                    <a:blip r:embed="rId9"/>
                    <a:stretch>
                      <a:fillRect/>
                    </a:stretch>
                  </pic:blipFill>
                  <pic:spPr>
                    <a:xfrm>
                      <a:off x="0" y="0"/>
                      <a:ext cx="6733033" cy="4788408"/>
                    </a:xfrm>
                    <a:prstGeom prst="rect">
                      <a:avLst/>
                    </a:prstGeom>
                  </pic:spPr>
                </pic:pic>
              </a:graphicData>
            </a:graphic>
          </wp:anchor>
        </w:drawing>
      </w:r>
      <w:r w:rsidR="00000000">
        <w:rPr>
          <w:rFonts w:ascii="Bookman Old Style" w:eastAsia="Bookman Old Style" w:hAnsi="Bookman Old Style" w:cs="Bookman Old Style"/>
          <w:i/>
          <w:sz w:val="24"/>
        </w:rPr>
        <w:t xml:space="preserve"> </w:t>
      </w:r>
    </w:p>
    <w:p w14:paraId="2C015E1A" w14:textId="77777777" w:rsidR="00E3373C" w:rsidRDefault="00000000">
      <w:pPr>
        <w:pStyle w:val="Naslov1"/>
        <w:ind w:left="-5"/>
      </w:pPr>
      <w:r>
        <w:t xml:space="preserve">RASHODI-AOP-044 </w:t>
      </w:r>
    </w:p>
    <w:p w14:paraId="4B83D7F2"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Rashodi u 2023. godini iznosili su 40.404,30 EUR  </w:t>
      </w:r>
    </w:p>
    <w:p w14:paraId="1C004A37"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Struktura rashoda je prikazana na slici broj 2. </w:t>
      </w:r>
    </w:p>
    <w:p w14:paraId="522BD7A7" w14:textId="77777777" w:rsidR="00E3373C" w:rsidRDefault="00000000">
      <w:pPr>
        <w:spacing w:after="218"/>
      </w:pPr>
      <w:r>
        <w:rPr>
          <w:rFonts w:ascii="Bookman Old Style" w:eastAsia="Bookman Old Style" w:hAnsi="Bookman Old Style" w:cs="Bookman Old Style"/>
          <w:i/>
          <w:sz w:val="24"/>
        </w:rPr>
        <w:t xml:space="preserve"> </w:t>
      </w:r>
    </w:p>
    <w:p w14:paraId="76FCF9EE" w14:textId="77777777" w:rsidR="00E3373C" w:rsidRDefault="00000000">
      <w:pPr>
        <w:spacing w:after="217"/>
      </w:pPr>
      <w:r>
        <w:rPr>
          <w:rFonts w:ascii="Bookman Old Style" w:eastAsia="Bookman Old Style" w:hAnsi="Bookman Old Style" w:cs="Bookman Old Style"/>
          <w:i/>
          <w:sz w:val="24"/>
        </w:rPr>
        <w:t xml:space="preserve"> </w:t>
      </w:r>
    </w:p>
    <w:p w14:paraId="620D1E9D" w14:textId="77777777" w:rsidR="00E3373C" w:rsidRDefault="00000000">
      <w:pPr>
        <w:spacing w:after="0"/>
      </w:pPr>
      <w:r>
        <w:rPr>
          <w:rFonts w:ascii="Bookman Old Style" w:eastAsia="Bookman Old Style" w:hAnsi="Bookman Old Style" w:cs="Bookman Old Style"/>
          <w:i/>
          <w:sz w:val="24"/>
        </w:rPr>
        <w:t xml:space="preserve"> </w:t>
      </w:r>
    </w:p>
    <w:p w14:paraId="2C5C5051" w14:textId="77777777" w:rsidR="00E3373C" w:rsidRDefault="00000000">
      <w:pPr>
        <w:spacing w:after="0"/>
      </w:pPr>
      <w:r>
        <w:rPr>
          <w:rFonts w:ascii="Bookman Old Style" w:eastAsia="Bookman Old Style" w:hAnsi="Bookman Old Style" w:cs="Bookman Old Style"/>
          <w:i/>
          <w:sz w:val="24"/>
        </w:rPr>
        <w:t xml:space="preserve"> </w:t>
      </w:r>
    </w:p>
    <w:p w14:paraId="6C8200C0" w14:textId="77777777" w:rsidR="00E3373C" w:rsidRDefault="00000000">
      <w:pPr>
        <w:spacing w:after="0"/>
      </w:pPr>
      <w:r>
        <w:rPr>
          <w:rFonts w:ascii="Bookman Old Style" w:eastAsia="Bookman Old Style" w:hAnsi="Bookman Old Style" w:cs="Bookman Old Style"/>
          <w:i/>
          <w:sz w:val="24"/>
        </w:rPr>
        <w:t xml:space="preserve"> </w:t>
      </w:r>
    </w:p>
    <w:p w14:paraId="5263B0F9" w14:textId="77777777" w:rsidR="00E3373C" w:rsidRDefault="00000000">
      <w:pPr>
        <w:spacing w:after="0"/>
      </w:pPr>
      <w:r>
        <w:rPr>
          <w:rFonts w:ascii="Bookman Old Style" w:eastAsia="Bookman Old Style" w:hAnsi="Bookman Old Style" w:cs="Bookman Old Style"/>
          <w:i/>
          <w:sz w:val="24"/>
        </w:rPr>
        <w:t xml:space="preserve"> </w:t>
      </w:r>
    </w:p>
    <w:p w14:paraId="55891799" w14:textId="77777777" w:rsidR="00E3373C" w:rsidRDefault="00000000">
      <w:pPr>
        <w:spacing w:after="0"/>
      </w:pPr>
      <w:r>
        <w:rPr>
          <w:rFonts w:ascii="Bookman Old Style" w:eastAsia="Bookman Old Style" w:hAnsi="Bookman Old Style" w:cs="Bookman Old Style"/>
          <w:i/>
          <w:sz w:val="24"/>
        </w:rPr>
        <w:t xml:space="preserve"> </w:t>
      </w:r>
    </w:p>
    <w:p w14:paraId="075B2BF1" w14:textId="77777777" w:rsidR="00E3373C" w:rsidRDefault="00000000">
      <w:pPr>
        <w:spacing w:after="0"/>
      </w:pPr>
      <w:r>
        <w:rPr>
          <w:rFonts w:ascii="Bookman Old Style" w:eastAsia="Bookman Old Style" w:hAnsi="Bookman Old Style" w:cs="Bookman Old Style"/>
          <w:i/>
          <w:sz w:val="24"/>
        </w:rPr>
        <w:t xml:space="preserve"> </w:t>
      </w:r>
    </w:p>
    <w:p w14:paraId="4FB16A7B" w14:textId="77777777" w:rsidR="00E3373C" w:rsidRDefault="00000000">
      <w:pPr>
        <w:spacing w:after="0"/>
      </w:pPr>
      <w:r>
        <w:rPr>
          <w:rFonts w:ascii="Bookman Old Style" w:eastAsia="Bookman Old Style" w:hAnsi="Bookman Old Style" w:cs="Bookman Old Style"/>
          <w:i/>
          <w:sz w:val="24"/>
        </w:rPr>
        <w:t xml:space="preserve"> </w:t>
      </w:r>
    </w:p>
    <w:p w14:paraId="644ED7C8" w14:textId="77777777" w:rsidR="00E3373C" w:rsidRDefault="00000000">
      <w:pPr>
        <w:spacing w:after="0"/>
      </w:pPr>
      <w:r>
        <w:rPr>
          <w:rFonts w:ascii="Bookman Old Style" w:eastAsia="Bookman Old Style" w:hAnsi="Bookman Old Style" w:cs="Bookman Old Style"/>
          <w:i/>
          <w:sz w:val="24"/>
        </w:rPr>
        <w:t xml:space="preserve"> </w:t>
      </w:r>
    </w:p>
    <w:p w14:paraId="3FB91176" w14:textId="77777777" w:rsidR="00E3373C" w:rsidRDefault="00000000">
      <w:pPr>
        <w:spacing w:after="0"/>
      </w:pPr>
      <w:r>
        <w:rPr>
          <w:rFonts w:ascii="Bookman Old Style" w:eastAsia="Bookman Old Style" w:hAnsi="Bookman Old Style" w:cs="Bookman Old Style"/>
          <w:i/>
          <w:sz w:val="24"/>
        </w:rPr>
        <w:t xml:space="preserve"> </w:t>
      </w:r>
    </w:p>
    <w:p w14:paraId="39DFB4BC" w14:textId="77777777" w:rsidR="00E3373C" w:rsidRDefault="00000000">
      <w:pPr>
        <w:spacing w:after="0"/>
      </w:pPr>
      <w:r>
        <w:rPr>
          <w:rFonts w:ascii="Bookman Old Style" w:eastAsia="Bookman Old Style" w:hAnsi="Bookman Old Style" w:cs="Bookman Old Style"/>
          <w:i/>
          <w:sz w:val="24"/>
        </w:rPr>
        <w:t xml:space="preserve"> </w:t>
      </w:r>
    </w:p>
    <w:p w14:paraId="5625541B" w14:textId="77777777" w:rsidR="00E3373C" w:rsidRDefault="00000000">
      <w:pPr>
        <w:spacing w:after="7742" w:line="267" w:lineRule="auto"/>
        <w:ind w:left="-5" w:right="56" w:hanging="10"/>
        <w:jc w:val="both"/>
      </w:pPr>
      <w:r>
        <w:rPr>
          <w:noProof/>
        </w:rPr>
        <w:lastRenderedPageBreak/>
        <w:drawing>
          <wp:anchor distT="0" distB="0" distL="114300" distR="114300" simplePos="0" relativeHeight="251660288" behindDoc="0" locked="0" layoutInCell="1" allowOverlap="0" wp14:anchorId="713CBE27" wp14:editId="4C398D1C">
            <wp:simplePos x="0" y="0"/>
            <wp:positionH relativeFrom="page">
              <wp:posOffset>466090</wp:posOffset>
            </wp:positionH>
            <wp:positionV relativeFrom="page">
              <wp:posOffset>1027430</wp:posOffset>
            </wp:positionV>
            <wp:extent cx="6662928" cy="4788409"/>
            <wp:effectExtent l="0" t="0" r="0" b="0"/>
            <wp:wrapTopAndBottom/>
            <wp:docPr id="17707" name="Picture 17707"/>
            <wp:cNvGraphicFramePr/>
            <a:graphic xmlns:a="http://schemas.openxmlformats.org/drawingml/2006/main">
              <a:graphicData uri="http://schemas.openxmlformats.org/drawingml/2006/picture">
                <pic:pic xmlns:pic="http://schemas.openxmlformats.org/drawingml/2006/picture">
                  <pic:nvPicPr>
                    <pic:cNvPr id="17707" name="Picture 17707"/>
                    <pic:cNvPicPr/>
                  </pic:nvPicPr>
                  <pic:blipFill>
                    <a:blip r:embed="rId10"/>
                    <a:stretch>
                      <a:fillRect/>
                    </a:stretch>
                  </pic:blipFill>
                  <pic:spPr>
                    <a:xfrm>
                      <a:off x="0" y="0"/>
                      <a:ext cx="6662928" cy="4788409"/>
                    </a:xfrm>
                    <a:prstGeom prst="rect">
                      <a:avLst/>
                    </a:prstGeom>
                  </pic:spPr>
                </pic:pic>
              </a:graphicData>
            </a:graphic>
          </wp:anchor>
        </w:drawing>
      </w:r>
      <w:r>
        <w:rPr>
          <w:rFonts w:ascii="Bookman Old Style" w:eastAsia="Bookman Old Style" w:hAnsi="Bookman Old Style" w:cs="Bookman Old Style"/>
          <w:i/>
          <w:sz w:val="24"/>
        </w:rPr>
        <w:t xml:space="preserve">Prikaz strukture rashoda: sl.2 </w:t>
      </w:r>
    </w:p>
    <w:p w14:paraId="71187868" w14:textId="77777777" w:rsidR="00E3373C" w:rsidRDefault="00000000">
      <w:pPr>
        <w:spacing w:after="0"/>
        <w:ind w:left="360"/>
      </w:pPr>
      <w:r>
        <w:rPr>
          <w:rFonts w:ascii="Bookman Old Style" w:eastAsia="Bookman Old Style" w:hAnsi="Bookman Old Style" w:cs="Bookman Old Style"/>
          <w:b/>
          <w:i/>
          <w:sz w:val="24"/>
        </w:rPr>
        <w:t xml:space="preserve"> </w:t>
      </w:r>
    </w:p>
    <w:tbl>
      <w:tblPr>
        <w:tblStyle w:val="TableGrid"/>
        <w:tblW w:w="9794" w:type="dxa"/>
        <w:tblInd w:w="360" w:type="dxa"/>
        <w:tblCellMar>
          <w:top w:w="44" w:type="dxa"/>
          <w:left w:w="0" w:type="dxa"/>
          <w:bottom w:w="0" w:type="dxa"/>
          <w:right w:w="0" w:type="dxa"/>
        </w:tblCellMar>
        <w:tblLook w:val="04A0" w:firstRow="1" w:lastRow="0" w:firstColumn="1" w:lastColumn="0" w:noHBand="0" w:noVBand="1"/>
      </w:tblPr>
      <w:tblGrid>
        <w:gridCol w:w="6551"/>
        <w:gridCol w:w="3243"/>
      </w:tblGrid>
      <w:tr w:rsidR="00E3373C" w14:paraId="03BF93A9" w14:textId="77777777" w:rsidTr="00CA5D5D">
        <w:trPr>
          <w:trHeight w:val="410"/>
        </w:trPr>
        <w:tc>
          <w:tcPr>
            <w:tcW w:w="6551" w:type="dxa"/>
            <w:tcBorders>
              <w:top w:val="nil"/>
              <w:left w:val="nil"/>
              <w:bottom w:val="nil"/>
              <w:right w:val="nil"/>
            </w:tcBorders>
          </w:tcPr>
          <w:p w14:paraId="52D01D80" w14:textId="77777777" w:rsidR="00E3373C" w:rsidRDefault="00000000">
            <w:pPr>
              <w:tabs>
                <w:tab w:val="center" w:pos="3889"/>
                <w:tab w:val="center" w:pos="4597"/>
                <w:tab w:val="center" w:pos="5305"/>
              </w:tabs>
              <w:spacing w:after="0"/>
            </w:pPr>
            <w:r>
              <w:rPr>
                <w:rFonts w:ascii="Bookman Old Style" w:eastAsia="Bookman Old Style" w:hAnsi="Bookman Old Style" w:cs="Bookman Old Style"/>
                <w:i/>
                <w:sz w:val="24"/>
              </w:rPr>
              <w:t>1.</w:t>
            </w:r>
            <w:r>
              <w:rPr>
                <w:rFonts w:ascii="Arial" w:eastAsia="Arial" w:hAnsi="Arial" w:cs="Arial"/>
                <w:i/>
                <w:sz w:val="24"/>
              </w:rPr>
              <w:t xml:space="preserve"> </w:t>
            </w:r>
            <w:r>
              <w:rPr>
                <w:rFonts w:ascii="Bookman Old Style" w:eastAsia="Bookman Old Style" w:hAnsi="Bookman Old Style" w:cs="Bookman Old Style"/>
                <w:i/>
                <w:sz w:val="24"/>
              </w:rPr>
              <w:t xml:space="preserve">MATERIJALNI RASHODI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p>
        </w:tc>
        <w:tc>
          <w:tcPr>
            <w:tcW w:w="3243" w:type="dxa"/>
            <w:tcBorders>
              <w:top w:val="nil"/>
              <w:left w:val="nil"/>
              <w:bottom w:val="nil"/>
              <w:right w:val="nil"/>
            </w:tcBorders>
          </w:tcPr>
          <w:p w14:paraId="15088AC0" w14:textId="77777777" w:rsidR="00E3373C" w:rsidRDefault="00000000">
            <w:pPr>
              <w:tabs>
                <w:tab w:val="center" w:pos="2125"/>
                <w:tab w:val="center" w:pos="2833"/>
              </w:tabs>
              <w:spacing w:after="0"/>
            </w:pPr>
            <w:r>
              <w:rPr>
                <w:rFonts w:ascii="Bookman Old Style" w:eastAsia="Bookman Old Style" w:hAnsi="Bookman Old Style" w:cs="Bookman Old Style"/>
                <w:i/>
                <w:sz w:val="24"/>
              </w:rPr>
              <w:t xml:space="preserve">33.883,42 EUR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p>
        </w:tc>
      </w:tr>
      <w:tr w:rsidR="00E3373C" w14:paraId="75E2EF40" w14:textId="77777777" w:rsidTr="00CA5D5D">
        <w:trPr>
          <w:trHeight w:val="541"/>
        </w:trPr>
        <w:tc>
          <w:tcPr>
            <w:tcW w:w="6551" w:type="dxa"/>
            <w:tcBorders>
              <w:top w:val="nil"/>
              <w:left w:val="nil"/>
              <w:bottom w:val="nil"/>
              <w:right w:val="nil"/>
            </w:tcBorders>
            <w:vAlign w:val="center"/>
          </w:tcPr>
          <w:p w14:paraId="67907ECD" w14:textId="77777777" w:rsidR="00E3373C" w:rsidRDefault="00000000">
            <w:pPr>
              <w:tabs>
                <w:tab w:val="center" w:pos="2473"/>
                <w:tab w:val="center" w:pos="3181"/>
                <w:tab w:val="center" w:pos="3889"/>
                <w:tab w:val="center" w:pos="4597"/>
                <w:tab w:val="center" w:pos="5305"/>
              </w:tabs>
              <w:spacing w:after="0"/>
            </w:pPr>
            <w:r>
              <w:rPr>
                <w:rFonts w:ascii="Bookman Old Style" w:eastAsia="Bookman Old Style" w:hAnsi="Bookman Old Style" w:cs="Bookman Old Style"/>
                <w:i/>
                <w:sz w:val="24"/>
              </w:rPr>
              <w:t>2.</w:t>
            </w:r>
            <w:r>
              <w:rPr>
                <w:rFonts w:ascii="Arial" w:eastAsia="Arial" w:hAnsi="Arial" w:cs="Arial"/>
                <w:i/>
                <w:sz w:val="24"/>
              </w:rPr>
              <w:t xml:space="preserve"> </w:t>
            </w:r>
            <w:r>
              <w:rPr>
                <w:rFonts w:ascii="Bookman Old Style" w:eastAsia="Bookman Old Style" w:hAnsi="Bookman Old Style" w:cs="Bookman Old Style"/>
                <w:i/>
                <w:sz w:val="24"/>
              </w:rPr>
              <w:t xml:space="preserve">AMORTIZACIJA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p>
        </w:tc>
        <w:tc>
          <w:tcPr>
            <w:tcW w:w="3243" w:type="dxa"/>
            <w:tcBorders>
              <w:top w:val="nil"/>
              <w:left w:val="nil"/>
              <w:bottom w:val="nil"/>
              <w:right w:val="nil"/>
            </w:tcBorders>
            <w:vAlign w:val="center"/>
          </w:tcPr>
          <w:p w14:paraId="2D5D7875" w14:textId="77777777" w:rsidR="00E3373C" w:rsidRDefault="00000000">
            <w:pPr>
              <w:spacing w:after="0"/>
            </w:pPr>
            <w:r>
              <w:rPr>
                <w:rFonts w:ascii="Bookman Old Style" w:eastAsia="Bookman Old Style" w:hAnsi="Bookman Old Style" w:cs="Bookman Old Style"/>
                <w:i/>
                <w:sz w:val="24"/>
              </w:rPr>
              <w:t xml:space="preserve">  5.960,12 EUR </w:t>
            </w:r>
          </w:p>
        </w:tc>
      </w:tr>
      <w:tr w:rsidR="00E3373C" w14:paraId="6FEC69B5" w14:textId="77777777" w:rsidTr="00CA5D5D">
        <w:trPr>
          <w:trHeight w:val="1090"/>
        </w:trPr>
        <w:tc>
          <w:tcPr>
            <w:tcW w:w="6551" w:type="dxa"/>
            <w:tcBorders>
              <w:top w:val="nil"/>
              <w:left w:val="nil"/>
              <w:bottom w:val="nil"/>
              <w:right w:val="nil"/>
            </w:tcBorders>
            <w:vAlign w:val="center"/>
          </w:tcPr>
          <w:p w14:paraId="1E0166C9" w14:textId="77777777" w:rsidR="00E3373C" w:rsidRDefault="00000000">
            <w:pPr>
              <w:tabs>
                <w:tab w:val="center" w:pos="3889"/>
                <w:tab w:val="center" w:pos="4597"/>
                <w:tab w:val="center" w:pos="5305"/>
              </w:tabs>
              <w:spacing w:after="220"/>
            </w:pPr>
            <w:r>
              <w:rPr>
                <w:rFonts w:ascii="Bookman Old Style" w:eastAsia="Bookman Old Style" w:hAnsi="Bookman Old Style" w:cs="Bookman Old Style"/>
                <w:i/>
                <w:sz w:val="24"/>
              </w:rPr>
              <w:t>3.</w:t>
            </w:r>
            <w:r>
              <w:rPr>
                <w:rFonts w:ascii="Arial" w:eastAsia="Arial" w:hAnsi="Arial" w:cs="Arial"/>
                <w:i/>
                <w:sz w:val="24"/>
              </w:rPr>
              <w:t xml:space="preserve"> </w:t>
            </w:r>
            <w:r>
              <w:rPr>
                <w:rFonts w:ascii="Bookman Old Style" w:eastAsia="Bookman Old Style" w:hAnsi="Bookman Old Style" w:cs="Bookman Old Style"/>
                <w:i/>
                <w:sz w:val="24"/>
              </w:rPr>
              <w:t xml:space="preserve"> FINANCIJSKI RASHODI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p>
          <w:p w14:paraId="36D0DC4D" w14:textId="77777777" w:rsidR="00E3373C" w:rsidRDefault="00000000">
            <w:pPr>
              <w:spacing w:after="0"/>
              <w:ind w:left="348"/>
            </w:pPr>
            <w:r>
              <w:rPr>
                <w:rFonts w:ascii="Bookman Old Style" w:eastAsia="Bookman Old Style" w:hAnsi="Bookman Old Style" w:cs="Bookman Old Style"/>
                <w:b/>
                <w:i/>
                <w:sz w:val="24"/>
              </w:rPr>
              <w:t xml:space="preserve">MATERIJALNI RASHODI-AOP-067 </w:t>
            </w:r>
          </w:p>
        </w:tc>
        <w:tc>
          <w:tcPr>
            <w:tcW w:w="3243" w:type="dxa"/>
            <w:tcBorders>
              <w:top w:val="nil"/>
              <w:left w:val="nil"/>
              <w:bottom w:val="nil"/>
              <w:right w:val="nil"/>
            </w:tcBorders>
          </w:tcPr>
          <w:p w14:paraId="05A0410E" w14:textId="77777777" w:rsidR="00E3373C" w:rsidRDefault="00000000">
            <w:pPr>
              <w:spacing w:after="0"/>
            </w:pPr>
            <w:r>
              <w:rPr>
                <w:rFonts w:ascii="Bookman Old Style" w:eastAsia="Bookman Old Style" w:hAnsi="Bookman Old Style" w:cs="Bookman Old Style"/>
                <w:i/>
                <w:sz w:val="24"/>
              </w:rPr>
              <w:t xml:space="preserve">     560,76 EUR </w:t>
            </w:r>
          </w:p>
        </w:tc>
      </w:tr>
      <w:tr w:rsidR="00E3373C" w14:paraId="008C6BD3" w14:textId="77777777" w:rsidTr="00CA5D5D">
        <w:trPr>
          <w:trHeight w:val="557"/>
        </w:trPr>
        <w:tc>
          <w:tcPr>
            <w:tcW w:w="6551" w:type="dxa"/>
            <w:tcBorders>
              <w:top w:val="nil"/>
              <w:left w:val="nil"/>
              <w:bottom w:val="nil"/>
              <w:right w:val="nil"/>
            </w:tcBorders>
            <w:vAlign w:val="center"/>
          </w:tcPr>
          <w:p w14:paraId="5BA04AB9" w14:textId="77777777" w:rsidR="00E3373C" w:rsidRDefault="00000000">
            <w:pPr>
              <w:spacing w:after="0"/>
            </w:pPr>
            <w:r>
              <w:rPr>
                <w:rFonts w:ascii="Segoe UI Symbol" w:eastAsia="Segoe UI Symbol" w:hAnsi="Segoe UI Symbol" w:cs="Segoe UI Symbol"/>
                <w:sz w:val="24"/>
              </w:rPr>
              <w:t>•</w:t>
            </w:r>
            <w:r>
              <w:rPr>
                <w:rFonts w:ascii="Arial" w:eastAsia="Arial" w:hAnsi="Arial" w:cs="Arial"/>
                <w:sz w:val="24"/>
              </w:rPr>
              <w:t xml:space="preserve"> </w:t>
            </w:r>
            <w:r>
              <w:rPr>
                <w:rFonts w:ascii="Bookman Old Style" w:eastAsia="Bookman Old Style" w:hAnsi="Bookman Old Style" w:cs="Bookman Old Style"/>
                <w:i/>
                <w:sz w:val="24"/>
              </w:rPr>
              <w:t xml:space="preserve">Rashodi za stručno osposobljavanje članova </w:t>
            </w:r>
          </w:p>
        </w:tc>
        <w:tc>
          <w:tcPr>
            <w:tcW w:w="3243" w:type="dxa"/>
            <w:tcBorders>
              <w:top w:val="nil"/>
              <w:left w:val="nil"/>
              <w:bottom w:val="nil"/>
              <w:right w:val="nil"/>
            </w:tcBorders>
            <w:vAlign w:val="center"/>
          </w:tcPr>
          <w:p w14:paraId="2F5F92B8" w14:textId="77777777" w:rsidR="00E3373C" w:rsidRDefault="00000000">
            <w:pPr>
              <w:spacing w:after="0"/>
            </w:pPr>
            <w:r>
              <w:rPr>
                <w:rFonts w:ascii="Bookman Old Style" w:eastAsia="Bookman Old Style" w:hAnsi="Bookman Old Style" w:cs="Bookman Old Style"/>
                <w:i/>
                <w:sz w:val="24"/>
              </w:rPr>
              <w:t xml:space="preserve"> 1.409,55 EUR </w:t>
            </w:r>
          </w:p>
        </w:tc>
      </w:tr>
      <w:tr w:rsidR="00E3373C" w14:paraId="3DA7E31E" w14:textId="77777777" w:rsidTr="00CA5D5D">
        <w:trPr>
          <w:trHeight w:val="420"/>
        </w:trPr>
        <w:tc>
          <w:tcPr>
            <w:tcW w:w="6551" w:type="dxa"/>
            <w:tcBorders>
              <w:top w:val="nil"/>
              <w:left w:val="nil"/>
              <w:bottom w:val="nil"/>
              <w:right w:val="nil"/>
            </w:tcBorders>
            <w:vAlign w:val="bottom"/>
          </w:tcPr>
          <w:p w14:paraId="26111C00" w14:textId="4A85076A" w:rsidR="00E3373C" w:rsidRDefault="00000000">
            <w:pPr>
              <w:tabs>
                <w:tab w:val="center" w:pos="4597"/>
                <w:tab w:val="center" w:pos="5305"/>
              </w:tabs>
              <w:spacing w:after="0"/>
            </w:pPr>
            <w:r>
              <w:rPr>
                <w:rFonts w:ascii="Segoe UI Symbol" w:eastAsia="Segoe UI Symbol" w:hAnsi="Segoe UI Symbol" w:cs="Segoe UI Symbol"/>
                <w:sz w:val="24"/>
              </w:rPr>
              <w:t>•</w:t>
            </w:r>
            <w:r>
              <w:rPr>
                <w:rFonts w:ascii="Arial" w:eastAsia="Arial" w:hAnsi="Arial" w:cs="Arial"/>
                <w:sz w:val="24"/>
              </w:rPr>
              <w:t xml:space="preserve"> </w:t>
            </w:r>
            <w:r>
              <w:rPr>
                <w:rFonts w:ascii="Bookman Old Style" w:eastAsia="Bookman Old Style" w:hAnsi="Bookman Old Style" w:cs="Bookman Old Style"/>
                <w:i/>
                <w:sz w:val="24"/>
              </w:rPr>
              <w:t xml:space="preserve">Rashodi za službena putovanja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sidR="001E663A">
              <w:rPr>
                <w:rFonts w:ascii="Bookman Old Style" w:eastAsia="Bookman Old Style" w:hAnsi="Bookman Old Style" w:cs="Bookman Old Style"/>
                <w:i/>
                <w:sz w:val="24"/>
              </w:rPr>
              <w:t xml:space="preserve">   </w:t>
            </w:r>
          </w:p>
        </w:tc>
        <w:tc>
          <w:tcPr>
            <w:tcW w:w="3243" w:type="dxa"/>
            <w:tcBorders>
              <w:top w:val="nil"/>
              <w:left w:val="nil"/>
              <w:bottom w:val="nil"/>
              <w:right w:val="nil"/>
            </w:tcBorders>
            <w:vAlign w:val="bottom"/>
          </w:tcPr>
          <w:p w14:paraId="796BF521" w14:textId="17F3E7B8" w:rsidR="00E3373C" w:rsidRDefault="00000000">
            <w:pPr>
              <w:spacing w:after="0"/>
            </w:pPr>
            <w:r>
              <w:rPr>
                <w:rFonts w:ascii="Bookman Old Style" w:eastAsia="Bookman Old Style" w:hAnsi="Bookman Old Style" w:cs="Bookman Old Style"/>
                <w:i/>
                <w:sz w:val="24"/>
              </w:rPr>
              <w:t xml:space="preserve"> 1.562,76 EUR</w:t>
            </w:r>
          </w:p>
        </w:tc>
      </w:tr>
    </w:tbl>
    <w:p w14:paraId="6CC0DC53" w14:textId="6C7A5C2D" w:rsidR="00E3373C" w:rsidRDefault="00000000" w:rsidP="001E663A">
      <w:pPr>
        <w:numPr>
          <w:ilvl w:val="0"/>
          <w:numId w:val="1"/>
        </w:numPr>
        <w:spacing w:before="240" w:after="233" w:line="267" w:lineRule="auto"/>
        <w:ind w:right="56"/>
        <w:jc w:val="both"/>
      </w:pPr>
      <w:r>
        <w:rPr>
          <w:rFonts w:ascii="Bookman Old Style" w:eastAsia="Bookman Old Style" w:hAnsi="Bookman Old Style" w:cs="Bookman Old Style"/>
          <w:i/>
          <w:sz w:val="24"/>
        </w:rPr>
        <w:t xml:space="preserve">Rashodi za usluge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Pr>
          <w:rFonts w:ascii="Bookman Old Style" w:eastAsia="Bookman Old Style" w:hAnsi="Bookman Old Style" w:cs="Bookman Old Style"/>
          <w:i/>
          <w:sz w:val="24"/>
        </w:rPr>
        <w:tab/>
        <w:t xml:space="preserve">        </w:t>
      </w:r>
      <w:r w:rsidR="00CA5D5D">
        <w:rPr>
          <w:rFonts w:ascii="Bookman Old Style" w:eastAsia="Bookman Old Style" w:hAnsi="Bookman Old Style" w:cs="Bookman Old Style"/>
          <w:i/>
          <w:sz w:val="24"/>
        </w:rPr>
        <w:t xml:space="preserve">        </w:t>
      </w:r>
      <w:r>
        <w:rPr>
          <w:rFonts w:ascii="Bookman Old Style" w:eastAsia="Bookman Old Style" w:hAnsi="Bookman Old Style" w:cs="Bookman Old Style"/>
          <w:i/>
          <w:sz w:val="24"/>
        </w:rPr>
        <w:t xml:space="preserve"> 10.799,78 EUR </w:t>
      </w:r>
    </w:p>
    <w:p w14:paraId="3DD1419B" w14:textId="2D2F0F0E" w:rsidR="00E3373C" w:rsidRDefault="00000000">
      <w:pPr>
        <w:numPr>
          <w:ilvl w:val="0"/>
          <w:numId w:val="1"/>
        </w:numPr>
        <w:spacing w:after="233" w:line="267" w:lineRule="auto"/>
        <w:ind w:right="56"/>
        <w:jc w:val="both"/>
      </w:pPr>
      <w:r>
        <w:rPr>
          <w:rFonts w:ascii="Bookman Old Style" w:eastAsia="Bookman Old Style" w:hAnsi="Bookman Old Style" w:cs="Bookman Old Style"/>
          <w:i/>
          <w:sz w:val="24"/>
        </w:rPr>
        <w:t xml:space="preserve">Rashodi za materijal, energiju i auto-gume         </w:t>
      </w:r>
      <w:r w:rsidR="00CA5D5D">
        <w:rPr>
          <w:rFonts w:ascii="Bookman Old Style" w:eastAsia="Bookman Old Style" w:hAnsi="Bookman Old Style" w:cs="Bookman Old Style"/>
          <w:i/>
          <w:sz w:val="24"/>
        </w:rPr>
        <w:t xml:space="preserve">        </w:t>
      </w:r>
      <w:r>
        <w:rPr>
          <w:rFonts w:ascii="Bookman Old Style" w:eastAsia="Bookman Old Style" w:hAnsi="Bookman Old Style" w:cs="Bookman Old Style"/>
          <w:i/>
          <w:sz w:val="24"/>
        </w:rPr>
        <w:t xml:space="preserve"> 11.269,78 EUR </w:t>
      </w:r>
    </w:p>
    <w:p w14:paraId="5E5BC4AF" w14:textId="0B8840B6" w:rsidR="001E663A" w:rsidRPr="001E663A" w:rsidRDefault="00000000">
      <w:pPr>
        <w:numPr>
          <w:ilvl w:val="0"/>
          <w:numId w:val="1"/>
        </w:numPr>
        <w:spacing w:after="199" w:line="440" w:lineRule="auto"/>
        <w:ind w:right="56"/>
        <w:jc w:val="both"/>
      </w:pPr>
      <w:r>
        <w:rPr>
          <w:rFonts w:ascii="Bookman Old Style" w:eastAsia="Bookman Old Style" w:hAnsi="Bookman Old Style" w:cs="Bookman Old Style"/>
          <w:i/>
          <w:sz w:val="24"/>
        </w:rPr>
        <w:t xml:space="preserve">Rashodi reprezentacije, kotizacije, osiguranje      </w:t>
      </w:r>
      <w:r w:rsidR="00CA5D5D">
        <w:rPr>
          <w:rFonts w:ascii="Bookman Old Style" w:eastAsia="Bookman Old Style" w:hAnsi="Bookman Old Style" w:cs="Bookman Old Style"/>
          <w:i/>
          <w:sz w:val="24"/>
        </w:rPr>
        <w:t xml:space="preserve">       </w:t>
      </w:r>
      <w:r>
        <w:rPr>
          <w:rFonts w:ascii="Bookman Old Style" w:eastAsia="Bookman Old Style" w:hAnsi="Bookman Old Style" w:cs="Bookman Old Style"/>
          <w:i/>
          <w:sz w:val="24"/>
        </w:rPr>
        <w:t xml:space="preserve">  8.474,67 EUR </w:t>
      </w:r>
    </w:p>
    <w:p w14:paraId="58B60A19" w14:textId="790A3182" w:rsidR="001E663A" w:rsidRPr="001E663A" w:rsidRDefault="00000000" w:rsidP="001E663A">
      <w:pPr>
        <w:spacing w:after="199" w:line="440" w:lineRule="auto"/>
        <w:ind w:left="360" w:right="56"/>
        <w:jc w:val="both"/>
      </w:pPr>
      <w:r>
        <w:rPr>
          <w:rFonts w:ascii="Segoe UI Symbol" w:eastAsia="Segoe UI Symbol" w:hAnsi="Segoe UI Symbol" w:cs="Segoe UI Symbol"/>
          <w:sz w:val="24"/>
        </w:rPr>
        <w:t>•</w:t>
      </w:r>
      <w:r>
        <w:rPr>
          <w:rFonts w:ascii="Arial" w:eastAsia="Arial" w:hAnsi="Arial" w:cs="Arial"/>
          <w:sz w:val="24"/>
        </w:rPr>
        <w:t xml:space="preserve"> </w:t>
      </w:r>
      <w:r>
        <w:rPr>
          <w:rFonts w:ascii="Bookman Old Style" w:eastAsia="Bookman Old Style" w:hAnsi="Bookman Old Style" w:cs="Bookman Old Style"/>
          <w:i/>
          <w:sz w:val="24"/>
        </w:rPr>
        <w:t xml:space="preserve">Naknade osobama izvan radnog odnosa                  </w:t>
      </w:r>
      <w:r w:rsidR="001E663A">
        <w:t xml:space="preserve">              </w:t>
      </w:r>
      <w:r>
        <w:rPr>
          <w:rFonts w:ascii="Bookman Old Style" w:eastAsia="Bookman Old Style" w:hAnsi="Bookman Old Style" w:cs="Bookman Old Style"/>
          <w:i/>
          <w:sz w:val="24"/>
        </w:rPr>
        <w:t xml:space="preserve">366,88 EUR </w:t>
      </w:r>
    </w:p>
    <w:p w14:paraId="1FCEAF0D" w14:textId="171A4DFA" w:rsidR="00E3373C" w:rsidRDefault="00000000" w:rsidP="001E663A">
      <w:pPr>
        <w:spacing w:after="199" w:line="440" w:lineRule="auto"/>
        <w:ind w:right="56"/>
        <w:jc w:val="both"/>
      </w:pPr>
      <w:r>
        <w:rPr>
          <w:rFonts w:ascii="Bookman Old Style" w:eastAsia="Bookman Old Style" w:hAnsi="Bookman Old Style" w:cs="Bookman Old Style"/>
          <w:b/>
          <w:i/>
          <w:sz w:val="24"/>
        </w:rPr>
        <w:lastRenderedPageBreak/>
        <w:t xml:space="preserve">Rashodi za službena putovanja </w:t>
      </w:r>
      <w:r>
        <w:rPr>
          <w:rFonts w:ascii="Bookman Old Style" w:eastAsia="Bookman Old Style" w:hAnsi="Bookman Old Style" w:cs="Bookman Old Style"/>
          <w:i/>
          <w:sz w:val="24"/>
        </w:rPr>
        <w:t>su rashodi za dnevnice, troškovi hotela, te trošk</w:t>
      </w:r>
      <w:r w:rsidR="001E663A">
        <w:rPr>
          <w:rFonts w:ascii="Bookman Old Style" w:eastAsia="Bookman Old Style" w:hAnsi="Bookman Old Style" w:cs="Bookman Old Style"/>
          <w:i/>
          <w:sz w:val="24"/>
        </w:rPr>
        <w:t>o</w:t>
      </w:r>
      <w:r>
        <w:rPr>
          <w:rFonts w:ascii="Bookman Old Style" w:eastAsia="Bookman Old Style" w:hAnsi="Bookman Old Style" w:cs="Bookman Old Style"/>
          <w:i/>
          <w:sz w:val="24"/>
        </w:rPr>
        <w:t xml:space="preserve">vi goriva i cestarine za službeni put. </w:t>
      </w:r>
    </w:p>
    <w:p w14:paraId="571E5419" w14:textId="77777777" w:rsidR="00E3373C" w:rsidRDefault="00000000">
      <w:pPr>
        <w:spacing w:after="208" w:line="267" w:lineRule="auto"/>
        <w:ind w:left="-5" w:right="59" w:hanging="10"/>
        <w:jc w:val="both"/>
      </w:pPr>
      <w:r>
        <w:rPr>
          <w:rFonts w:ascii="Bookman Old Style" w:eastAsia="Bookman Old Style" w:hAnsi="Bookman Old Style" w:cs="Bookman Old Style"/>
          <w:b/>
          <w:i/>
          <w:sz w:val="24"/>
        </w:rPr>
        <w:t>Rashodi za usluge</w:t>
      </w:r>
      <w:r>
        <w:rPr>
          <w:rFonts w:ascii="Bookman Old Style" w:eastAsia="Bookman Old Style" w:hAnsi="Bookman Old Style" w:cs="Bookman Old Style"/>
          <w:i/>
          <w:sz w:val="24"/>
        </w:rPr>
        <w:t xml:space="preserve"> su za troškove telefona, tekuće održavanje, zdravstvene usluge, računovodstvene usluge, tehnički pregled i registracija vozila, te režijski troškovi kampa u Fažani  </w:t>
      </w:r>
    </w:p>
    <w:p w14:paraId="418D1CC5" w14:textId="77777777" w:rsidR="00E3373C" w:rsidRDefault="00000000">
      <w:pPr>
        <w:spacing w:after="209" w:line="267" w:lineRule="auto"/>
        <w:ind w:left="-5" w:right="56" w:hanging="10"/>
        <w:jc w:val="both"/>
      </w:pPr>
      <w:r>
        <w:rPr>
          <w:rFonts w:ascii="Bookman Old Style" w:eastAsia="Bookman Old Style" w:hAnsi="Bookman Old Style" w:cs="Bookman Old Style"/>
          <w:b/>
          <w:i/>
          <w:sz w:val="24"/>
        </w:rPr>
        <w:t>Rashodi za materijal i energiju</w:t>
      </w:r>
      <w:r>
        <w:rPr>
          <w:rFonts w:ascii="Bookman Old Style" w:eastAsia="Bookman Old Style" w:hAnsi="Bookman Old Style" w:cs="Bookman Old Style"/>
          <w:i/>
          <w:sz w:val="24"/>
        </w:rPr>
        <w:t xml:space="preserve"> su troškovi za uredski materijal, materijal za održavanje, gorivo za vozila te nabavke sitnog inventara koji je u cijelosti otpisan i </w:t>
      </w:r>
      <w:proofErr w:type="spellStart"/>
      <w:r>
        <w:rPr>
          <w:rFonts w:ascii="Bookman Old Style" w:eastAsia="Bookman Old Style" w:hAnsi="Bookman Old Style" w:cs="Bookman Old Style"/>
          <w:i/>
          <w:sz w:val="24"/>
        </w:rPr>
        <w:t>preknjižen</w:t>
      </w:r>
      <w:proofErr w:type="spellEnd"/>
      <w:r>
        <w:rPr>
          <w:rFonts w:ascii="Bookman Old Style" w:eastAsia="Bookman Old Style" w:hAnsi="Bookman Old Style" w:cs="Bookman Old Style"/>
          <w:i/>
          <w:sz w:val="24"/>
        </w:rPr>
        <w:t xml:space="preserve"> na troškove. </w:t>
      </w:r>
    </w:p>
    <w:p w14:paraId="5D959BAA" w14:textId="77777777" w:rsidR="00E3373C" w:rsidRDefault="00000000">
      <w:pPr>
        <w:spacing w:after="208" w:line="267" w:lineRule="auto"/>
        <w:ind w:left="-5" w:right="59" w:hanging="10"/>
        <w:jc w:val="both"/>
      </w:pPr>
      <w:r>
        <w:rPr>
          <w:rFonts w:ascii="Bookman Old Style" w:eastAsia="Bookman Old Style" w:hAnsi="Bookman Old Style" w:cs="Bookman Old Style"/>
          <w:b/>
          <w:i/>
          <w:sz w:val="24"/>
        </w:rPr>
        <w:t>Rashodi za reprezentaciju</w:t>
      </w:r>
      <w:r>
        <w:rPr>
          <w:rFonts w:ascii="Bookman Old Style" w:eastAsia="Bookman Old Style" w:hAnsi="Bookman Old Style" w:cs="Bookman Old Style"/>
          <w:i/>
          <w:sz w:val="24"/>
        </w:rPr>
        <w:t xml:space="preserve"> u koje ulaze troškovi reprezentacije za ugostiteljske usluge, reprezentacija za  Skupštinu, reprezentacija  u odmaralištu Fažana i reprezentacija za natjecanja. U ostale troškove spadaju i troškovi osiguranja, kotizacija, pristojbe i sl. </w:t>
      </w:r>
    </w:p>
    <w:p w14:paraId="4F81AA64" w14:textId="77777777" w:rsidR="00E3373C" w:rsidRDefault="00000000">
      <w:pPr>
        <w:pStyle w:val="Naslov1"/>
        <w:ind w:left="-5"/>
      </w:pPr>
      <w:r>
        <w:t xml:space="preserve">RASHODI AMORTIZACIJE-AOP-108 </w:t>
      </w:r>
    </w:p>
    <w:p w14:paraId="3C728BCE"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Amortizacija iznosi 5.960,12 EUR i obračunata je po propisanim stopama za period od 01.01.2023. do 31.12.2023. godine.  </w:t>
      </w:r>
    </w:p>
    <w:p w14:paraId="116A30A3" w14:textId="77777777" w:rsidR="00E3373C" w:rsidRDefault="00000000">
      <w:pPr>
        <w:pStyle w:val="Naslov1"/>
        <w:ind w:left="-5"/>
      </w:pPr>
      <w:r>
        <w:t xml:space="preserve">FINANCIJSKI RASHODI-AOP-109 </w:t>
      </w:r>
    </w:p>
    <w:p w14:paraId="31D885AD"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 Financijski rashodi su evidentirani u iznosu od 560,76 i uglavnom su to rashodi za platni promet te ostali financijski rashodi. </w:t>
      </w:r>
    </w:p>
    <w:p w14:paraId="5A8D1AFB" w14:textId="77777777" w:rsidR="00E3373C" w:rsidRDefault="00000000">
      <w:pPr>
        <w:spacing w:after="209" w:line="267" w:lineRule="auto"/>
        <w:ind w:left="-5" w:right="56" w:hanging="10"/>
        <w:jc w:val="both"/>
      </w:pPr>
      <w:r>
        <w:rPr>
          <w:rFonts w:ascii="Bookman Old Style" w:eastAsia="Bookman Old Style" w:hAnsi="Bookman Old Style" w:cs="Bookman Old Style"/>
          <w:i/>
          <w:sz w:val="24"/>
        </w:rPr>
        <w:t xml:space="preserve">Na kraju godine 2023. godine ostvaren je višak prihoda od 1.082,78 EUR. DVD u 2023. godini imalo ulaganja u poslovni prostor da se dovede u funkciju. Za tu namjenu su utrošena sredstva koja su ostala na žiro-računu iz prethodne godine, i sredstva koja su dodijeljena DVD u ovoj 2023. godini.  Sredstva koja su ostala na žiro-računu u iznosu od 12.077,19 EUR bit će tijekom slijedeće godine utrošena za redovno poslovanje udruge i za uređenje poslovnog prostora. </w:t>
      </w:r>
    </w:p>
    <w:p w14:paraId="725106EB" w14:textId="35614ABF" w:rsidR="00E3373C" w:rsidRDefault="00000000">
      <w:pPr>
        <w:spacing w:after="208" w:line="267" w:lineRule="auto"/>
        <w:ind w:left="-5" w:right="59" w:hanging="10"/>
        <w:jc w:val="both"/>
        <w:rPr>
          <w:rFonts w:ascii="Bookman Old Style" w:eastAsia="Bookman Old Style" w:hAnsi="Bookman Old Style" w:cs="Bookman Old Style"/>
          <w:i/>
          <w:sz w:val="24"/>
        </w:rPr>
      </w:pPr>
      <w:r>
        <w:rPr>
          <w:rFonts w:ascii="Bookman Old Style" w:eastAsia="Bookman Old Style" w:hAnsi="Bookman Old Style" w:cs="Bookman Old Style"/>
          <w:i/>
          <w:sz w:val="24"/>
        </w:rPr>
        <w:t xml:space="preserve">Sa prenesenim viškom iz proteklih godina ostaje raspoloživ višak prihoda za slijedeće razdoblje u iznosu od 88.77,70 EUR. </w:t>
      </w:r>
    </w:p>
    <w:p w14:paraId="7D9A2184" w14:textId="77777777" w:rsidR="00635090" w:rsidRDefault="00635090">
      <w:pPr>
        <w:spacing w:after="208" w:line="267" w:lineRule="auto"/>
        <w:ind w:left="-5" w:right="59" w:hanging="10"/>
        <w:jc w:val="both"/>
      </w:pPr>
    </w:p>
    <w:p w14:paraId="0BC7E82B" w14:textId="35117187" w:rsidR="00635090" w:rsidRDefault="00635090">
      <w:pPr>
        <w:spacing w:after="0"/>
        <w:rPr>
          <w:rFonts w:ascii="Bookman Old Style" w:eastAsia="Bookman Old Style" w:hAnsi="Bookman Old Style" w:cs="Bookman Old Style"/>
          <w:i/>
          <w:sz w:val="24"/>
        </w:rPr>
      </w:pP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r>
      <w:r>
        <w:rPr>
          <w:rFonts w:ascii="Bookman Old Style" w:eastAsia="Bookman Old Style" w:hAnsi="Bookman Old Style" w:cs="Bookman Old Style"/>
          <w:i/>
          <w:sz w:val="24"/>
        </w:rPr>
        <w:tab/>
        <w:t xml:space="preserve">    Odgovorna osoba</w:t>
      </w:r>
    </w:p>
    <w:p w14:paraId="29834941" w14:textId="793D1657" w:rsidR="00E3373C" w:rsidRDefault="001E663A">
      <w:pPr>
        <w:spacing w:after="0"/>
      </w:pPr>
      <w:r>
        <w:rPr>
          <w:noProof/>
        </w:rPr>
        <w:drawing>
          <wp:anchor distT="0" distB="0" distL="114300" distR="114300" simplePos="0" relativeHeight="251661312" behindDoc="0" locked="0" layoutInCell="1" allowOverlap="1" wp14:anchorId="51427C70" wp14:editId="28D7F279">
            <wp:simplePos x="0" y="0"/>
            <wp:positionH relativeFrom="column">
              <wp:posOffset>3919855</wp:posOffset>
            </wp:positionH>
            <wp:positionV relativeFrom="paragraph">
              <wp:posOffset>283210</wp:posOffset>
            </wp:positionV>
            <wp:extent cx="1009650" cy="1019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1019175"/>
                    </a:xfrm>
                    <a:prstGeom prst="rect">
                      <a:avLst/>
                    </a:prstGeom>
                    <a:noFill/>
                  </pic:spPr>
                </pic:pic>
              </a:graphicData>
            </a:graphic>
          </wp:anchor>
        </w:drawing>
      </w:r>
      <w:r w:rsidR="00635090" w:rsidRPr="00582910">
        <w:rPr>
          <w:rFonts w:ascii="Cambria Math" w:hAnsi="Cambria Math" w:cs="Times New Roman"/>
          <w:noProof/>
          <w:sz w:val="24"/>
          <w:szCs w:val="24"/>
        </w:rPr>
        <w:drawing>
          <wp:anchor distT="0" distB="0" distL="114300" distR="114300" simplePos="0" relativeHeight="251663360" behindDoc="1" locked="0" layoutInCell="1" allowOverlap="1" wp14:anchorId="274C4117" wp14:editId="637FBF05">
            <wp:simplePos x="0" y="0"/>
            <wp:positionH relativeFrom="column">
              <wp:posOffset>4930140</wp:posOffset>
            </wp:positionH>
            <wp:positionV relativeFrom="page">
              <wp:posOffset>8046720</wp:posOffset>
            </wp:positionV>
            <wp:extent cx="897890" cy="314325"/>
            <wp:effectExtent l="0" t="0" r="0" b="9525"/>
            <wp:wrapThrough wrapText="bothSides">
              <wp:wrapPolygon edited="0">
                <wp:start x="0" y="0"/>
                <wp:lineTo x="0" y="20945"/>
                <wp:lineTo x="21081" y="20945"/>
                <wp:lineTo x="21081" y="0"/>
                <wp:lineTo x="0" y="0"/>
              </wp:wrapPolygon>
            </wp:wrapThrough>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789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r>
      <w:r w:rsidR="00635090">
        <w:rPr>
          <w:rFonts w:ascii="Bookman Old Style" w:eastAsia="Bookman Old Style" w:hAnsi="Bookman Old Style" w:cs="Bookman Old Style"/>
          <w:i/>
          <w:sz w:val="24"/>
        </w:rPr>
        <w:tab/>
        <w:t>Atila Vadoci</w:t>
      </w:r>
      <w:r w:rsidR="00000000">
        <w:rPr>
          <w:rFonts w:ascii="Bookman Old Style" w:eastAsia="Bookman Old Style" w:hAnsi="Bookman Old Style" w:cs="Bookman Old Style"/>
          <w:i/>
          <w:sz w:val="24"/>
        </w:rPr>
        <w:t xml:space="preserve"> </w:t>
      </w:r>
    </w:p>
    <w:sectPr w:rsidR="00E3373C">
      <w:footerReference w:type="even" r:id="rId13"/>
      <w:footerReference w:type="default" r:id="rId14"/>
      <w:footerReference w:type="first" r:id="rId15"/>
      <w:pgSz w:w="11340" w:h="16841"/>
      <w:pgMar w:top="720" w:right="715" w:bottom="1359" w:left="833" w:header="720" w:footer="5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9D998" w14:textId="77777777" w:rsidR="005A3F12" w:rsidRDefault="005A3F12">
      <w:pPr>
        <w:spacing w:after="0" w:line="240" w:lineRule="auto"/>
      </w:pPr>
      <w:r>
        <w:separator/>
      </w:r>
    </w:p>
  </w:endnote>
  <w:endnote w:type="continuationSeparator" w:id="0">
    <w:p w14:paraId="1AB6E4B9" w14:textId="77777777" w:rsidR="005A3F12" w:rsidRDefault="005A3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57043" w14:textId="77777777" w:rsidR="00E3373C" w:rsidRDefault="00000000">
    <w:pPr>
      <w:spacing w:after="0"/>
      <w:ind w:right="287"/>
      <w:jc w:val="center"/>
    </w:pPr>
    <w:r>
      <w:rPr>
        <w:noProof/>
      </w:rPr>
      <mc:AlternateContent>
        <mc:Choice Requires="wpg">
          <w:drawing>
            <wp:anchor distT="0" distB="0" distL="114300" distR="114300" simplePos="0" relativeHeight="251658240" behindDoc="0" locked="0" layoutInCell="1" allowOverlap="1" wp14:anchorId="2F8CB4E9" wp14:editId="44050844">
              <wp:simplePos x="0" y="0"/>
              <wp:positionH relativeFrom="page">
                <wp:posOffset>438912</wp:posOffset>
              </wp:positionH>
              <wp:positionV relativeFrom="page">
                <wp:posOffset>9974274</wp:posOffset>
              </wp:positionV>
              <wp:extent cx="6252972" cy="6097"/>
              <wp:effectExtent l="0" t="0" r="0" b="0"/>
              <wp:wrapSquare wrapText="bothSides"/>
              <wp:docPr id="17750" name="Group 17750"/>
              <wp:cNvGraphicFramePr/>
              <a:graphic xmlns:a="http://schemas.openxmlformats.org/drawingml/2006/main">
                <a:graphicData uri="http://schemas.microsoft.com/office/word/2010/wordprocessingGroup">
                  <wpg:wgp>
                    <wpg:cNvGrpSpPr/>
                    <wpg:grpSpPr>
                      <a:xfrm>
                        <a:off x="0" y="0"/>
                        <a:ext cx="6252972" cy="6097"/>
                        <a:chOff x="0" y="0"/>
                        <a:chExt cx="6252972" cy="6097"/>
                      </a:xfrm>
                    </wpg:grpSpPr>
                    <wps:wsp>
                      <wps:cNvPr id="18015" name="Shape 18015"/>
                      <wps:cNvSpPr/>
                      <wps:spPr>
                        <a:xfrm>
                          <a:off x="0" y="0"/>
                          <a:ext cx="6252972" cy="9144"/>
                        </a:xfrm>
                        <a:custGeom>
                          <a:avLst/>
                          <a:gdLst/>
                          <a:ahLst/>
                          <a:cxnLst/>
                          <a:rect l="0" t="0" r="0" b="0"/>
                          <a:pathLst>
                            <a:path w="6252972" h="9144">
                              <a:moveTo>
                                <a:pt x="0" y="0"/>
                              </a:moveTo>
                              <a:lnTo>
                                <a:pt x="6252972" y="0"/>
                              </a:lnTo>
                              <a:lnTo>
                                <a:pt x="625297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750" style="width:492.36pt;height:0.480042pt;position:absolute;mso-position-horizontal-relative:page;mso-position-horizontal:absolute;margin-left:34.56pt;mso-position-vertical-relative:page;margin-top:785.376pt;" coordsize="62529,60">
              <v:shape id="Shape 18016" style="position:absolute;width:62529;height:91;left:0;top:0;" coordsize="6252972,9144" path="m0,0l6252972,0l625297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21806A39" w14:textId="77777777" w:rsidR="00E3373C" w:rsidRDefault="00000000">
    <w:pPr>
      <w:spacing w:after="0"/>
      <w:ind w:right="178"/>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93838" w14:textId="77777777" w:rsidR="00E3373C" w:rsidRDefault="00000000">
    <w:pPr>
      <w:spacing w:after="0"/>
      <w:ind w:right="62"/>
      <w:jc w:val="center"/>
    </w:pPr>
    <w:r>
      <w:rPr>
        <w:noProof/>
      </w:rPr>
      <mc:AlternateContent>
        <mc:Choice Requires="wpg">
          <w:drawing>
            <wp:anchor distT="0" distB="0" distL="114300" distR="114300" simplePos="0" relativeHeight="251659264" behindDoc="0" locked="0" layoutInCell="1" allowOverlap="1" wp14:anchorId="101AE655" wp14:editId="7303053F">
              <wp:simplePos x="0" y="0"/>
              <wp:positionH relativeFrom="page">
                <wp:posOffset>510540</wp:posOffset>
              </wp:positionH>
              <wp:positionV relativeFrom="page">
                <wp:posOffset>9974274</wp:posOffset>
              </wp:positionV>
              <wp:extent cx="6252972" cy="6097"/>
              <wp:effectExtent l="0" t="0" r="0" b="0"/>
              <wp:wrapSquare wrapText="bothSides"/>
              <wp:docPr id="17735" name="Group 17735"/>
              <wp:cNvGraphicFramePr/>
              <a:graphic xmlns:a="http://schemas.openxmlformats.org/drawingml/2006/main">
                <a:graphicData uri="http://schemas.microsoft.com/office/word/2010/wordprocessingGroup">
                  <wpg:wgp>
                    <wpg:cNvGrpSpPr/>
                    <wpg:grpSpPr>
                      <a:xfrm>
                        <a:off x="0" y="0"/>
                        <a:ext cx="6252972" cy="6097"/>
                        <a:chOff x="0" y="0"/>
                        <a:chExt cx="6252972" cy="6097"/>
                      </a:xfrm>
                    </wpg:grpSpPr>
                    <wps:wsp>
                      <wps:cNvPr id="18013" name="Shape 18013"/>
                      <wps:cNvSpPr/>
                      <wps:spPr>
                        <a:xfrm>
                          <a:off x="0" y="0"/>
                          <a:ext cx="6252972" cy="9144"/>
                        </a:xfrm>
                        <a:custGeom>
                          <a:avLst/>
                          <a:gdLst/>
                          <a:ahLst/>
                          <a:cxnLst/>
                          <a:rect l="0" t="0" r="0" b="0"/>
                          <a:pathLst>
                            <a:path w="6252972" h="9144">
                              <a:moveTo>
                                <a:pt x="0" y="0"/>
                              </a:moveTo>
                              <a:lnTo>
                                <a:pt x="6252972" y="0"/>
                              </a:lnTo>
                              <a:lnTo>
                                <a:pt x="625297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735" style="width:492.36pt;height:0.480042pt;position:absolute;mso-position-horizontal-relative:page;mso-position-horizontal:absolute;margin-left:40.2pt;mso-position-vertical-relative:page;margin-top:785.376pt;" coordsize="62529,60">
              <v:shape id="Shape 18014" style="position:absolute;width:62529;height:91;left:0;top:0;" coordsize="6252972,9144" path="m0,0l6252972,0l625297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046E9EF4" w14:textId="77777777" w:rsidR="00E3373C" w:rsidRDefault="00000000">
    <w:pPr>
      <w:spacing w:after="0"/>
      <w:ind w:left="48"/>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88FFC" w14:textId="77777777" w:rsidR="00E3373C" w:rsidRDefault="00000000">
    <w:pPr>
      <w:spacing w:after="0"/>
      <w:ind w:right="62"/>
      <w:jc w:val="center"/>
    </w:pPr>
    <w:r>
      <w:rPr>
        <w:noProof/>
      </w:rPr>
      <mc:AlternateContent>
        <mc:Choice Requires="wpg">
          <w:drawing>
            <wp:anchor distT="0" distB="0" distL="114300" distR="114300" simplePos="0" relativeHeight="251660288" behindDoc="0" locked="0" layoutInCell="1" allowOverlap="1" wp14:anchorId="55ED2ED5" wp14:editId="072A7F6B">
              <wp:simplePos x="0" y="0"/>
              <wp:positionH relativeFrom="page">
                <wp:posOffset>510540</wp:posOffset>
              </wp:positionH>
              <wp:positionV relativeFrom="page">
                <wp:posOffset>9974274</wp:posOffset>
              </wp:positionV>
              <wp:extent cx="6252972" cy="6097"/>
              <wp:effectExtent l="0" t="0" r="0" b="0"/>
              <wp:wrapSquare wrapText="bothSides"/>
              <wp:docPr id="17720" name="Group 17720"/>
              <wp:cNvGraphicFramePr/>
              <a:graphic xmlns:a="http://schemas.openxmlformats.org/drawingml/2006/main">
                <a:graphicData uri="http://schemas.microsoft.com/office/word/2010/wordprocessingGroup">
                  <wpg:wgp>
                    <wpg:cNvGrpSpPr/>
                    <wpg:grpSpPr>
                      <a:xfrm>
                        <a:off x="0" y="0"/>
                        <a:ext cx="6252972" cy="6097"/>
                        <a:chOff x="0" y="0"/>
                        <a:chExt cx="6252972" cy="6097"/>
                      </a:xfrm>
                    </wpg:grpSpPr>
                    <wps:wsp>
                      <wps:cNvPr id="18011" name="Shape 18011"/>
                      <wps:cNvSpPr/>
                      <wps:spPr>
                        <a:xfrm>
                          <a:off x="0" y="0"/>
                          <a:ext cx="6252972" cy="9144"/>
                        </a:xfrm>
                        <a:custGeom>
                          <a:avLst/>
                          <a:gdLst/>
                          <a:ahLst/>
                          <a:cxnLst/>
                          <a:rect l="0" t="0" r="0" b="0"/>
                          <a:pathLst>
                            <a:path w="6252972" h="9144">
                              <a:moveTo>
                                <a:pt x="0" y="0"/>
                              </a:moveTo>
                              <a:lnTo>
                                <a:pt x="6252972" y="0"/>
                              </a:lnTo>
                              <a:lnTo>
                                <a:pt x="625297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720" style="width:492.36pt;height:0.480042pt;position:absolute;mso-position-horizontal-relative:page;mso-position-horizontal:absolute;margin-left:40.2pt;mso-position-vertical-relative:page;margin-top:785.376pt;" coordsize="62529,60">
              <v:shape id="Shape 18012" style="position:absolute;width:62529;height:91;left:0;top:0;" coordsize="6252972,9144" path="m0,0l6252972,0l625297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50488A3E" w14:textId="77777777" w:rsidR="00E3373C" w:rsidRDefault="00000000">
    <w:pPr>
      <w:spacing w:after="0"/>
      <w:ind w:left="48"/>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C07CD" w14:textId="77777777" w:rsidR="005A3F12" w:rsidRDefault="005A3F12">
      <w:pPr>
        <w:spacing w:after="0" w:line="240" w:lineRule="auto"/>
      </w:pPr>
      <w:r>
        <w:separator/>
      </w:r>
    </w:p>
  </w:footnote>
  <w:footnote w:type="continuationSeparator" w:id="0">
    <w:p w14:paraId="7C86507D" w14:textId="77777777" w:rsidR="005A3F12" w:rsidRDefault="005A3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2558BC"/>
    <w:multiLevelType w:val="hybridMultilevel"/>
    <w:tmpl w:val="FEC8F11C"/>
    <w:lvl w:ilvl="0" w:tplc="84E6F5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F28F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6E72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407F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5283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6CD9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1226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EA2C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D028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8461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73C"/>
    <w:rsid w:val="001E663A"/>
    <w:rsid w:val="005A3F12"/>
    <w:rsid w:val="00635090"/>
    <w:rsid w:val="00CA5D5D"/>
    <w:rsid w:val="00E3373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CDB7"/>
  <w15:docId w15:val="{2C4E7C31-3A45-49AF-9559-DF1D0AC3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hr-HR" w:eastAsia="hr-H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Naslov1">
    <w:name w:val="heading 1"/>
    <w:next w:val="Normal"/>
    <w:link w:val="Naslov1Char"/>
    <w:uiPriority w:val="9"/>
    <w:qFormat/>
    <w:pPr>
      <w:keepNext/>
      <w:keepLines/>
      <w:spacing w:after="218"/>
      <w:ind w:left="10" w:hanging="10"/>
      <w:outlineLvl w:val="0"/>
    </w:pPr>
    <w:rPr>
      <w:rFonts w:ascii="Bookman Old Style" w:eastAsia="Bookman Old Style" w:hAnsi="Bookman Old Style" w:cs="Bookman Old Style"/>
      <w:b/>
      <w:i/>
      <w:color w:val="000000"/>
      <w:sz w:val="24"/>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link w:val="Naslov1"/>
    <w:rPr>
      <w:rFonts w:ascii="Bookman Old Style" w:eastAsia="Bookman Old Style" w:hAnsi="Bookman Old Style" w:cs="Bookman Old Style"/>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1067</Words>
  <Characters>6085</Characters>
  <Application>Microsoft Office Word</Application>
  <DocSecurity>0</DocSecurity>
  <Lines>50</Lines>
  <Paragraphs>14</Paragraphs>
  <ScaleCrop>false</ScaleCrop>
  <HeadingPairs>
    <vt:vector size="2" baseType="variant">
      <vt:variant>
        <vt:lpstr>Naslov</vt:lpstr>
      </vt:variant>
      <vt:variant>
        <vt:i4>1</vt:i4>
      </vt:variant>
    </vt:vector>
  </HeadingPairs>
  <TitlesOfParts>
    <vt:vector size="1" baseType="lpstr">
      <vt:lpstr>DOBROVOLJNO VATROGASNO DRUŠTVO SARVAŠ</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DOBROVOLJNO VATROGASNO DRUŠTVO SARVAŠ</dc:title>
  <dc:subject/>
  <dc:creator>X</dc:creator>
  <cp:keywords/>
  <cp:lastModifiedBy>Atila Vadoci</cp:lastModifiedBy>
  <cp:revision>3</cp:revision>
  <dcterms:created xsi:type="dcterms:W3CDTF">2024-02-12T18:00:00Z</dcterms:created>
  <dcterms:modified xsi:type="dcterms:W3CDTF">2024-02-12T18:10:00Z</dcterms:modified>
</cp:coreProperties>
</file>