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195"/>
        <w:gridCol w:w="4876"/>
      </w:tblGrid>
      <w:tr>
        <w:tc>
          <w:tcPr>
            <w:tcW w:type="dxa" w:w="4702"/>
            <w:tcMar>
              <w:top w:w="0" w:type="dxa"/>
              <w:start w:w="20" w:type="dxa"/>
              <w:bottom w:w="0" w:type="dxa"/>
              <w:end w:w="20" w:type="dxa"/>
            </w:tcMar>
            <w:tcBorders>
              <w:top w:val="nil"/>
              <w:left w:val="nil"/>
              <w:bottom w:val="nil"/>
              <w:right w:val="nil"/>
            </w:tcBorders>
            <w:vAlign w:val="top"/>
          </w:tcPr>
          <w:p>
            <w:pPr>
              <w:jc w:val="center"/>
            </w:pPr>
            <w:r>
              <w:rPr>
                <w:rFonts w:ascii="Times New Roman" w:hAnsi="Times New Roman" w:eastAsia="Times New Roman"/>
                <w:b/>
                <w:i w:val="0"/>
                <w:sz w:val="24"/>
              </w:rPr>
              <w:t>[TÊN CƠ QUAN CHỦ QUẢN]</w:t>
            </w:r>
          </w:p>
          <w:p>
            <w:pPr>
              <w:jc w:val="center"/>
            </w:pPr>
            <w:r>
              <w:rPr>
                <w:rFonts w:ascii="Times New Roman" w:hAnsi="Times New Roman" w:eastAsia="Times New Roman"/>
                <w:b/>
                <w:i w:val="0"/>
                <w:sz w:val="24"/>
              </w:rPr>
              <w:t>[TÊN TRƯỜNG/ĐƠN VỊ]</w:t>
            </w:r>
          </w:p>
          <w:p>
            <w:pPr>
              <w:jc w:val="center"/>
            </w:pPr>
            <w:r>
              <w:rPr>
                <w:rFonts w:ascii="Times New Roman" w:hAnsi="Times New Roman" w:eastAsia="Times New Roman"/>
                <w:b w:val="0"/>
                <w:i w:val="0"/>
                <w:sz w:val="24"/>
              </w:rPr>
              <w:t>Số: ……/QC-……</w:t>
            </w:r>
          </w:p>
        </w:tc>
        <w:tc>
          <w:tcPr>
            <w:tcW w:type="dxa" w:w="4702"/>
            <w:tcMar>
              <w:top w:w="0" w:type="dxa"/>
              <w:start w:w="20" w:type="dxa"/>
              <w:bottom w:w="0" w:type="dxa"/>
              <w:end w:w="20" w:type="dxa"/>
            </w:tcMar>
            <w:tcBorders>
              <w:top w:val="nil"/>
              <w:left w:val="nil"/>
              <w:bottom w:val="nil"/>
              <w:right w:val="nil"/>
            </w:tcBorders>
            <w:vAlign w:val="top"/>
          </w:tcPr>
          <w:p>
            <w:pPr>
              <w:jc w:val="center"/>
            </w:pPr>
            <w:r>
              <w:rPr>
                <w:rFonts w:ascii="Times New Roman" w:hAnsi="Times New Roman" w:eastAsia="Times New Roman"/>
                <w:b/>
                <w:i w:val="0"/>
                <w:sz w:val="21"/>
              </w:rPr>
              <w:t>CỘNG HÒA XÃ HỘI CHỦ NGHĨA VIỆT NAM</w:t>
            </w:r>
          </w:p>
          <w:p>
            <w:pPr>
              <w:jc w:val="center"/>
            </w:pPr>
            <w:r>
              <w:rPr>
                <w:rFonts w:ascii="Times New Roman" w:hAnsi="Times New Roman" w:eastAsia="Times New Roman"/>
                <w:b/>
                <w:i w:val="0"/>
                <w:sz w:val="24"/>
              </w:rPr>
              <w:t>Độc lập - Tự do - Hạnh phúc</w:t>
            </w:r>
          </w:p>
          <w:p>
            <w:pPr>
              <w:jc w:val="center"/>
            </w:pPr>
            <w:r>
              <w:rPr>
                <w:rFonts w:ascii="Times New Roman" w:hAnsi="Times New Roman" w:eastAsia="Times New Roman"/>
                <w:b w:val="0"/>
                <w:i w:val="0"/>
                <w:sz w:val="24"/>
              </w:rPr>
              <w:t>________________________</w:t>
            </w:r>
          </w:p>
        </w:tc>
      </w:tr>
    </w:tbl>
    <w:p>
      <w:pPr>
        <w:spacing w:before="80"/>
        <w:jc w:val="right"/>
      </w:pPr>
      <w:r>
        <w:rPr>
          <w:rFonts w:ascii="Times New Roman" w:hAnsi="Times New Roman" w:eastAsia="Times New Roman"/>
          <w:b w:val="0"/>
          <w:i/>
          <w:sz w:val="26"/>
        </w:rPr>
        <w:t>……, ngày …… tháng …… năm 2026</w:t>
      </w:r>
    </w:p>
    <w:p>
      <w:pPr>
        <w:spacing w:before="40" w:after="40"/>
        <w:jc w:val="center"/>
      </w:pPr>
      <w:r>
        <w:rPr>
          <w:rFonts w:ascii="Times New Roman" w:hAnsi="Times New Roman" w:eastAsia="Times New Roman"/>
          <w:b/>
          <w:i/>
          <w:sz w:val="26"/>
        </w:rPr>
        <w:t>DỰ THẢO</w:t>
      </w:r>
    </w:p>
    <w:p>
      <w:pPr>
        <w:spacing w:before="40" w:after="20"/>
        <w:jc w:val="center"/>
      </w:pPr>
      <w:r>
        <w:rPr>
          <w:rFonts w:ascii="Times New Roman" w:hAnsi="Times New Roman" w:eastAsia="Times New Roman"/>
          <w:b/>
          <w:i w:val="0"/>
          <w:sz w:val="32"/>
        </w:rPr>
        <w:t>QUY CHẾ</w:t>
      </w:r>
    </w:p>
    <w:p>
      <w:pPr>
        <w:spacing w:after="40"/>
        <w:jc w:val="center"/>
      </w:pPr>
      <w:r>
        <w:rPr>
          <w:rFonts w:ascii="Times New Roman" w:hAnsi="Times New Roman" w:eastAsia="Times New Roman"/>
          <w:b/>
          <w:i w:val="0"/>
          <w:sz w:val="30"/>
        </w:rPr>
        <w:t>HOẠT ĐỘNG CỦA TỔ KỸ THUẬT</w:t>
      </w:r>
    </w:p>
    <w:p>
      <w:pPr>
        <w:jc w:val="center"/>
      </w:pPr>
      <w:r>
        <w:rPr>
          <w:rFonts w:ascii="Times New Roman" w:hAnsi="Times New Roman" w:eastAsia="Times New Roman"/>
          <w:b w:val="0"/>
          <w:i/>
          <w:sz w:val="24"/>
        </w:rPr>
        <w:t>(Ban hành kèm theo Quyết định số ……/QĐ-…… ngày …… tháng …… năm …… của ………………)</w:t>
      </w:r>
    </w:p>
    <w:p>
      <w:pPr>
        <w:keepNext/>
        <w:spacing w:before="160" w:after="0"/>
        <w:jc w:val="center"/>
      </w:pPr>
      <w:r>
        <w:rPr>
          <w:rFonts w:ascii="Times New Roman" w:hAnsi="Times New Roman" w:eastAsia="Times New Roman"/>
          <w:b/>
          <w:i w:val="0"/>
          <w:sz w:val="26"/>
        </w:rPr>
        <w:t>Chương I</w:t>
      </w:r>
    </w:p>
    <w:p>
      <w:pPr>
        <w:keepNext/>
        <w:spacing w:after="80"/>
        <w:jc w:val="center"/>
      </w:pPr>
      <w:r>
        <w:rPr>
          <w:rFonts w:ascii="Times New Roman" w:hAnsi="Times New Roman" w:eastAsia="Times New Roman"/>
          <w:b/>
          <w:i w:val="0"/>
          <w:sz w:val="26"/>
        </w:rPr>
        <w:t>QUY ĐỊNH CHUNG</w:t>
      </w:r>
    </w:p>
    <w:p>
      <w:pPr>
        <w:keepNext/>
        <w:spacing w:before="100" w:after="20" w:line="276" w:lineRule="auto"/>
      </w:pPr>
      <w:r>
        <w:rPr>
          <w:rFonts w:ascii="Times New Roman" w:hAnsi="Times New Roman" w:eastAsia="Times New Roman"/>
          <w:b/>
          <w:i w:val="0"/>
          <w:sz w:val="26"/>
        </w:rPr>
        <w:t>Điều 1. Phạm vi điều chỉnh và đối tượng áp dụng</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Quy chế này quy định vị trí, chức năng, nhiệm vụ, quyền hạn, cơ cấu tổ chức, nguyên tắc hoạt động, chế độ làm việc, quan hệ phối hợp và trách nhiệm của Tổ Kỹ thuật trong công tác quản lý, vận hành, bảo trì, sửa chữa và khai thác cơ sở vật chất, tài sản, trang thiết bị và hạ tầng kỹ thuật của Nhà trường/đơn vị.</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Quy chế này áp dụng đối với Tổ Kỹ thuật, viên chức, người lao động thuộc Tổ Kỹ thuật và các đơn vị, cá nhân có liên quan đến việc quản lý, sử dụng, khai thác cơ sở vật chất, tài sản, trang thiết bị và hệ thống kỹ thuật do Tổ Kỹ thuật phụ trách.</w:t>
      </w:r>
    </w:p>
    <w:p>
      <w:pPr>
        <w:keepNext/>
        <w:spacing w:before="100" w:after="20" w:line="276" w:lineRule="auto"/>
      </w:pPr>
      <w:r>
        <w:rPr>
          <w:rFonts w:ascii="Times New Roman" w:hAnsi="Times New Roman" w:eastAsia="Times New Roman"/>
          <w:b/>
          <w:i w:val="0"/>
          <w:sz w:val="26"/>
        </w:rPr>
        <w:t>Điều 2. Vị trí và quan hệ quản lý</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Tổ Kỹ thuật là bộ phận chuyên môn trực thuộc [Phòng Hành chính - Quản trị/đơn vị được giao quản lý], chịu sự chỉ đạo trực tiếp của lãnh đạo đơn vị quản lý và sự lãnh đạo chung của Ban Giám hiệu.</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Tổ Kỹ thuật thực hiện nhiệm vụ theo phân công, kế hoạch công tác và các quy định của Nhà trường; đồng thời phối hợp với các phòng, khoa, trung tâm, bộ môn và cá nhân có liên quan để bảo đảm hoạt động kỹ thuật được liên tục, an toàn và hiệu quả.</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Đối với hạ tầng công nghệ thông tin, thiết bị mạng, phần mềm hoặc hệ thống chuyên dùng, Tổ Kỹ thuật phối hợp với bộ phận công nghệ thông tin và các đơn vị chuyên môn; không tự ý thay đổi cấu hình, dữ liệu hoặc phân quyền khi chưa được cấp có thẩm quyền cho phép.</w:t>
      </w:r>
    </w:p>
    <w:p>
      <w:pPr>
        <w:keepNext/>
        <w:spacing w:before="100" w:after="20" w:line="276" w:lineRule="auto"/>
      </w:pPr>
      <w:r>
        <w:rPr>
          <w:rFonts w:ascii="Times New Roman" w:hAnsi="Times New Roman" w:eastAsia="Times New Roman"/>
          <w:b/>
          <w:i w:val="0"/>
          <w:sz w:val="26"/>
        </w:rPr>
        <w:t>Điều 3. Mục tiêu hoạt động</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Bảo đảm cơ sở vật chất, tài sản, trang thiết bị và các hệ thống kỹ thuật của Nhà trường được quản lý thống nhất, vận hành ổn định, an toàn và đáp ứng yêu cầu đào tạo, nghiên cứu khoa học, quản trị và phục vụ người học.</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Nâng cao hiệu quả sử dụng tài sản; hạn chế hư hỏng, thất thoát; kéo dài tuổi thọ trang thiết bị; thực hành tiết kiệm và sử dụng đúng mục đích.</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Phát hiện, tiếp nhận và xử lý kịp thời các sự cố kỹ thuật; giảm thời gian gián đoạn hoạt động của các đơn vị.</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Thực hiện đầy đủ các yêu cầu về an toàn lao động, an toàn điện, phòng cháy, chữa cháy, bảo vệ môi trường và bảo mật thông tin trong phạm vi nhiệm vụ được giao.</w:t>
      </w:r>
    </w:p>
    <w:p>
      <w:pPr>
        <w:keepNext/>
        <w:spacing w:before="100" w:after="20" w:line="276" w:lineRule="auto"/>
      </w:pPr>
      <w:r>
        <w:rPr>
          <w:rFonts w:ascii="Times New Roman" w:hAnsi="Times New Roman" w:eastAsia="Times New Roman"/>
          <w:b/>
          <w:i w:val="0"/>
          <w:sz w:val="26"/>
        </w:rPr>
        <w:t>Điều 4. Nguyên tắc hoạt động</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Tuân thủ pháp luật, quy định của cơ quan chủ quản, quy chế nội bộ của Nhà trường và sự phân công của lãnh đạo có thẩm quyền.</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Làm việc đúng chức năng, nhiệm vụ, thẩm quyền; bảo đảm rõ người, rõ việc, rõ tiến độ, rõ kết quả và rõ trách nhiệm.</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Ưu tiên xử lý các sự cố ảnh hưởng đến an toàn con người, phòng cháy, chữa cháy, điện, nước, hệ thống mạng, hoạt động giảng dạy, thi cử và sự kiện quan trọng.</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Bảo đảm phối hợp, hỗ trợ, phản hồi kịp thời; không gây phiền hà, không tự ý trì hoãn hoặc từ chối nhiệm vụ thuộc phạm vi phụ trách.</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Bảo đảm công khai, minh bạch, tiết kiệm trong sử dụng vật tư, phụ tùng, kinh phí và các nguồn lực được giao.</w:t>
      </w:r>
    </w:p>
    <w:p>
      <w:pPr>
        <w:spacing w:after="0" w:line="276" w:lineRule="auto"/>
        <w:ind w:left="0" w:firstLine="454"/>
        <w:jc w:val="both"/>
      </w:pPr>
      <w:r>
        <w:rPr>
          <w:rFonts w:ascii="Times New Roman" w:hAnsi="Times New Roman" w:eastAsia="Times New Roman"/>
          <w:b w:val="0"/>
          <w:i w:val="0"/>
          <w:sz w:val="26"/>
        </w:rPr>
        <w:t xml:space="preserve">6. </w:t>
      </w:r>
      <w:r>
        <w:rPr>
          <w:rFonts w:ascii="Times New Roman" w:hAnsi="Times New Roman" w:eastAsia="Times New Roman"/>
          <w:b w:val="0"/>
          <w:i w:val="0"/>
          <w:sz w:val="26"/>
        </w:rPr>
        <w:t>Mọi công việc phát sinh phải được ghi nhận, theo dõi, nghiệm thu và cập nhật hồ sơ theo quy định; trường hợp khẩn cấp có thể xử lý trước nhưng phải hoàn thiện hồ sơ ngay sau khi sự cố được kiểm soát.</w:t>
      </w:r>
    </w:p>
    <w:p>
      <w:pPr>
        <w:keepNext/>
        <w:spacing w:before="160" w:after="0"/>
        <w:jc w:val="center"/>
      </w:pPr>
      <w:r>
        <w:rPr>
          <w:rFonts w:ascii="Times New Roman" w:hAnsi="Times New Roman" w:eastAsia="Times New Roman"/>
          <w:b/>
          <w:i w:val="0"/>
          <w:sz w:val="26"/>
        </w:rPr>
        <w:t>Chương II</w:t>
      </w:r>
    </w:p>
    <w:p>
      <w:pPr>
        <w:keepNext/>
        <w:spacing w:after="80"/>
        <w:jc w:val="center"/>
      </w:pPr>
      <w:r>
        <w:rPr>
          <w:rFonts w:ascii="Times New Roman" w:hAnsi="Times New Roman" w:eastAsia="Times New Roman"/>
          <w:b/>
          <w:i w:val="0"/>
          <w:sz w:val="26"/>
        </w:rPr>
        <w:t>CHỨC NĂNG, NHIỆM VỤ VÀ QUYỀN HẠN</w:t>
      </w:r>
    </w:p>
    <w:p>
      <w:pPr>
        <w:keepNext/>
        <w:spacing w:before="100" w:after="20" w:line="276" w:lineRule="auto"/>
      </w:pPr>
      <w:r>
        <w:rPr>
          <w:rFonts w:ascii="Times New Roman" w:hAnsi="Times New Roman" w:eastAsia="Times New Roman"/>
          <w:b/>
          <w:i w:val="0"/>
          <w:sz w:val="26"/>
        </w:rPr>
        <w:t>Điều 5. Chức năng</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Tham mưu cho lãnh đạo Nhà trường và đơn vị quản lý về công tác quản lý, khai thác, bảo trì, sửa chữa, nâng cấp, mua sắm, điều chuyển, kiểm kê và thanh lý tài sản, trang thiết bị, cơ sở vật chất và hạ tầng kỹ thuật.</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Trực tiếp tổ chức hoặc phối hợp tổ chức vận hành, kiểm tra, bảo dưỡng, sửa chữa và hỗ trợ kỹ thuật đối với các hệ thống, thiết bị thuộc phạm vi được giao.</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Theo dõi hiện trạng, dữ liệu, hồ sơ kỹ thuật và hiệu quả sử dụng tài sản; tổng hợp, báo cáo và đề xuất giải pháp nâng cao chất lượng phục vụ.</w:t>
      </w:r>
    </w:p>
    <w:p>
      <w:pPr>
        <w:keepNext/>
        <w:spacing w:before="100" w:after="20" w:line="276" w:lineRule="auto"/>
      </w:pPr>
      <w:r>
        <w:rPr>
          <w:rFonts w:ascii="Times New Roman" w:hAnsi="Times New Roman" w:eastAsia="Times New Roman"/>
          <w:b/>
          <w:i w:val="0"/>
          <w:sz w:val="26"/>
        </w:rPr>
        <w:t>Điều 6. Phạm vi tài sản, trang thiết bị và hệ thống kỹ thuật phụ trách</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Phạm vi phụ trách căn cứ danh mục tài sản được Nhà trường giao quản lý, bao gồm nhưng không giới hạn:</w:t>
      </w:r>
    </w:p>
    <w:p>
      <w:pPr>
        <w:spacing w:after="0" w:line="276" w:lineRule="auto"/>
        <w:ind w:left="425" w:hanging="255"/>
        <w:jc w:val="both"/>
      </w:pPr>
      <w:r>
        <w:rPr>
          <w:rFonts w:ascii="Times New Roman" w:hAnsi="Times New Roman" w:eastAsia="Times New Roman"/>
          <w:b w:val="0"/>
          <w:i w:val="0"/>
          <w:sz w:val="26"/>
        </w:rPr>
        <w:t xml:space="preserve">a) </w:t>
      </w:r>
      <w:r>
        <w:rPr>
          <w:rFonts w:ascii="Times New Roman" w:hAnsi="Times New Roman" w:eastAsia="Times New Roman"/>
          <w:b w:val="0"/>
          <w:i w:val="0"/>
          <w:sz w:val="26"/>
        </w:rPr>
        <w:t>Thiết bị giảng dạy, thiết bị phòng học, phòng thực hành, phòng thí nghiệm, phòng máy và hội trường;</w:t>
      </w:r>
    </w:p>
    <w:p>
      <w:pPr>
        <w:spacing w:after="0" w:line="276" w:lineRule="auto"/>
        <w:ind w:left="425" w:hanging="255"/>
        <w:jc w:val="both"/>
      </w:pPr>
      <w:r>
        <w:rPr>
          <w:rFonts w:ascii="Times New Roman" w:hAnsi="Times New Roman" w:eastAsia="Times New Roman"/>
          <w:b w:val="0"/>
          <w:i w:val="0"/>
          <w:sz w:val="26"/>
        </w:rPr>
        <w:t xml:space="preserve">b) </w:t>
      </w:r>
      <w:r>
        <w:rPr>
          <w:rFonts w:ascii="Times New Roman" w:hAnsi="Times New Roman" w:eastAsia="Times New Roman"/>
          <w:b w:val="0"/>
          <w:i w:val="0"/>
          <w:sz w:val="26"/>
        </w:rPr>
        <w:t>Máy tính, máy in, máy chiếu, màn hình, camera, thiết bị âm thanh, ánh sáng, trình chiếu và thiết bị hội nghị;</w:t>
      </w:r>
    </w:p>
    <w:p>
      <w:pPr>
        <w:spacing w:after="0" w:line="276" w:lineRule="auto"/>
        <w:ind w:left="425" w:hanging="255"/>
        <w:jc w:val="both"/>
      </w:pPr>
      <w:r>
        <w:rPr>
          <w:rFonts w:ascii="Times New Roman" w:hAnsi="Times New Roman" w:eastAsia="Times New Roman"/>
          <w:b w:val="0"/>
          <w:i w:val="0"/>
          <w:sz w:val="26"/>
        </w:rPr>
        <w:t xml:space="preserve">c) </w:t>
      </w:r>
      <w:r>
        <w:rPr>
          <w:rFonts w:ascii="Times New Roman" w:hAnsi="Times New Roman" w:eastAsia="Times New Roman"/>
          <w:b w:val="0"/>
          <w:i w:val="0"/>
          <w:sz w:val="26"/>
        </w:rPr>
        <w:t>Thiết bị văn phòng, bàn ghế, tủ, kệ, máy lạnh, quạt, thiết bị điện, hệ thống cấp thoát nước và các hạng mục kỹ thuật công trình;</w:t>
      </w:r>
    </w:p>
    <w:p>
      <w:pPr>
        <w:spacing w:after="0" w:line="276" w:lineRule="auto"/>
        <w:ind w:left="425" w:hanging="255"/>
        <w:jc w:val="both"/>
      </w:pPr>
      <w:r>
        <w:rPr>
          <w:rFonts w:ascii="Times New Roman" w:hAnsi="Times New Roman" w:eastAsia="Times New Roman"/>
          <w:b w:val="0"/>
          <w:i w:val="0"/>
          <w:sz w:val="26"/>
        </w:rPr>
        <w:t xml:space="preserve">d) </w:t>
      </w:r>
      <w:r>
        <w:rPr>
          <w:rFonts w:ascii="Times New Roman" w:hAnsi="Times New Roman" w:eastAsia="Times New Roman"/>
          <w:b w:val="0"/>
          <w:i w:val="0"/>
          <w:sz w:val="26"/>
        </w:rPr>
        <w:t>Thiết bị mạng, tủ mạng, dây dẫn và thiết bị công nghệ thông tin theo phân công và cơ chế phối hợp với bộ phận công nghệ thông tin;</w:t>
      </w:r>
    </w:p>
    <w:p>
      <w:pPr>
        <w:spacing w:after="0" w:line="276" w:lineRule="auto"/>
        <w:ind w:left="425" w:hanging="255"/>
        <w:jc w:val="both"/>
      </w:pPr>
      <w:r>
        <w:rPr>
          <w:rFonts w:ascii="Times New Roman" w:hAnsi="Times New Roman" w:eastAsia="Times New Roman"/>
          <w:b w:val="0"/>
          <w:i w:val="0"/>
          <w:sz w:val="26"/>
        </w:rPr>
        <w:t xml:space="preserve">đ) </w:t>
      </w:r>
      <w:r>
        <w:rPr>
          <w:rFonts w:ascii="Times New Roman" w:hAnsi="Times New Roman" w:eastAsia="Times New Roman"/>
          <w:b w:val="0"/>
          <w:i w:val="0"/>
          <w:sz w:val="26"/>
        </w:rPr>
        <w:t>Máy phát điện, bộ lưu điện, thiết bị an toàn, dụng cụ và máy móc phục vụ sửa chữa;</w:t>
      </w:r>
    </w:p>
    <w:p>
      <w:pPr>
        <w:spacing w:after="0" w:line="276" w:lineRule="auto"/>
        <w:ind w:left="425" w:hanging="255"/>
        <w:jc w:val="both"/>
      </w:pPr>
      <w:r>
        <w:rPr>
          <w:rFonts w:ascii="Times New Roman" w:hAnsi="Times New Roman" w:eastAsia="Times New Roman"/>
          <w:b w:val="0"/>
          <w:i w:val="0"/>
          <w:sz w:val="26"/>
        </w:rPr>
        <w:t xml:space="preserve">e) </w:t>
      </w:r>
      <w:r>
        <w:rPr>
          <w:rFonts w:ascii="Times New Roman" w:hAnsi="Times New Roman" w:eastAsia="Times New Roman"/>
          <w:b w:val="0"/>
          <w:i w:val="0"/>
          <w:sz w:val="26"/>
        </w:rPr>
        <w:t>Kho thiết bị, vật tư kỹ thuật, phụ tùng thay thế, vật tư tiêu hao và các tài sản khác được giao.</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Danh mục cụ thể do Hiệu trưởng hoặc lãnh đạo được ủy quyền phê duyệt, điều chỉnh phù hợp với cơ cấu tổ chức và yêu cầu thực tế.</w:t>
      </w:r>
    </w:p>
    <w:p>
      <w:pPr>
        <w:keepNext/>
        <w:spacing w:before="100" w:after="20" w:line="276" w:lineRule="auto"/>
      </w:pPr>
      <w:r>
        <w:rPr>
          <w:rFonts w:ascii="Times New Roman" w:hAnsi="Times New Roman" w:eastAsia="Times New Roman"/>
          <w:b/>
          <w:i w:val="0"/>
          <w:sz w:val="26"/>
        </w:rPr>
        <w:t>Điều 7. Nhiệm vụ quản lý tài sản và cơ sở dữ liệu</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Tiếp nhận, kiểm tra tình trạng, số lượng, thông số kỹ thuật và hồ sơ kèm theo khi tài sản, thiết bị được mua sắm, điều chuyển hoặc bàn giao.</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Phối hợp gắn mã tài sản, lập hồ sơ, cập nhật dữ liệu, vị trí sử dụng, đơn vị/cá nhân quản lý trực tiếp, tình trạng vận hành, thời hạn bảo hành và các thay đổi phát sinh.</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Theo dõi việc sử dụng tài sản đúng mục đích, đúng công năng và đúng hướng dẫn; kịp thời cảnh báo, kiến nghị xử lý đối với việc sử dụng sai quy định hoặc có nguy cơ gây hư hỏng, mất an toàn.</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Thực hiện bàn giao, điều chuyển, thu hồi, kiểm kê, đánh giá chất lượng, đề xuất sửa chữa, thay thế hoặc thanh lý theo quy định.</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Lưu trữ đầy đủ hồ sơ kỹ thuật, hướng dẫn sử dụng, biên bản bàn giao, nhật ký vận hành, bảo trì, sửa chữa, nghiệm thu và các tài liệu liên quan.</w:t>
      </w:r>
    </w:p>
    <w:p>
      <w:pPr>
        <w:keepNext/>
        <w:spacing w:before="100" w:after="20" w:line="276" w:lineRule="auto"/>
      </w:pPr>
      <w:r>
        <w:rPr>
          <w:rFonts w:ascii="Times New Roman" w:hAnsi="Times New Roman" w:eastAsia="Times New Roman"/>
          <w:b/>
          <w:i w:val="0"/>
          <w:sz w:val="26"/>
        </w:rPr>
        <w:t>Điều 8. Nhiệm vụ quản lý kho thiết bị, vật tư kỹ thuật</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Tổ chức sắp xếp kho khoa học, dễ kiểm tra, dễ xuất nhập; phân khu theo chủng loại, tình trạng và yêu cầu bảo quản; bảo đảm an toàn, vệ sinh, phòng chống cháy nổ, ẩm mốc và thất thoát.</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Thực hiện nhập kho, xuất kho, cấp phát, thu hồi theo phiếu và đúng thẩm quyền; không xuất vật tư, thiết bị khi chưa có căn cứ hợp lệ, trừ trường hợp khẩn cấp được lãnh đạo cho phép.</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Theo dõi số lượng tồn, mức sử dụng, hạn bảo quản và tình trạng vật tư; định kỳ đối chiếu sổ theo dõi với thực tế.</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Quản lý công cụ, dụng cụ sửa chữa; thực hiện bàn giao, theo dõi người sử dụng và thu hồi sau khi hoàn thành công việc.</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Đề xuất định mức dự phòng đối với vật tư thiết yếu; lập danh mục mua sắm, bổ sung hoặc thay thế phù hợp với nhu cầu thực tế.</w:t>
      </w:r>
    </w:p>
    <w:p>
      <w:pPr>
        <w:keepNext/>
        <w:spacing w:before="100" w:after="20" w:line="276" w:lineRule="auto"/>
      </w:pPr>
      <w:r>
        <w:rPr>
          <w:rFonts w:ascii="Times New Roman" w:hAnsi="Times New Roman" w:eastAsia="Times New Roman"/>
          <w:b/>
          <w:i w:val="0"/>
          <w:sz w:val="26"/>
        </w:rPr>
        <w:t>Điều 9. Nhiệm vụ vận hành, kiểm tra, bảo trì và bảo dưỡng</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Xây dựng kế hoạch kiểm tra, bảo trì, bảo dưỡng định kỳ theo nhóm thiết bị, khuyến cáo của nhà sản xuất, mức độ sử dụng và điều kiện thực tế; trình cấp có thẩm quyền phê duyệt.</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Tổ chức thực hiện kế hoạch đã được phê duyệt; ưu tiên thiết bị phục vụ trực tiếp giảng dạy, thi, thực hành, an toàn và hoạt động liên tục của Nhà trường.</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Kiểm tra tình trạng hoạt động, an toàn điện, dây dẫn, nguồn điện, kết nối, thông gió, nhiệt độ, vệ sinh thiết bị và các yếu tố có nguy cơ gây mất an toàn.</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Ghi đầy đủ kết quả kiểm tra, nội dung bảo trì, vật tư sử dụng, người thực hiện, thời gian và kiến nghị xử lý vào nhật ký hoặc hệ thống quản lý.</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Khi phát hiện nguy cơ mất an toàn nghiêm trọng, có quyền đề nghị tạm ngừng sử dụng, cô lập khu vực hoặc thiết bị và báo cáo ngay lãnh đạo phụ trách.</w:t>
      </w:r>
    </w:p>
    <w:p>
      <w:pPr>
        <w:keepNext/>
        <w:spacing w:before="100" w:after="20" w:line="276" w:lineRule="auto"/>
      </w:pPr>
      <w:r>
        <w:rPr>
          <w:rFonts w:ascii="Times New Roman" w:hAnsi="Times New Roman" w:eastAsia="Times New Roman"/>
          <w:b/>
          <w:i w:val="0"/>
          <w:sz w:val="26"/>
        </w:rPr>
        <w:t>Điều 10. Nhiệm vụ sửa chữa và xử lý sự cố</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Tiếp nhận, kiểm tra, xác định nguyên nhân sơ bộ, mức độ ảnh hưởng và phương án xử lý đối với yêu cầu sửa chữa, sự cố kỹ thuật.</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Thực hiện sửa chữa trong phạm vi chuyên môn, điều kiện kỹ thuật và thẩm quyền; bảo đảm an toàn cho người, thiết bị và khu vực làm việc.</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Trường hợp vượt khả năng hoặc cần đơn vị có chuyên môn, Tổ Kỹ thuật lập đề xuất thuê sửa chữa, bảo hành, thay thế hoặc mời đơn vị chuyên môn; theo dõi quá trình thực hiện và phối hợp nghiệm thu.</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Không tự ý thay thế linh kiện, thay đổi kết cấu, cấu hình hoặc thông số làm mất bảo hành, phát sinh rủi ro hoặc ảnh hưởng đến dữ liệu khi chưa được cấp có thẩm quyền chấp thuận.</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Sau sửa chữa phải kiểm tra vận hành, bàn giao cho đơn vị sử dụng, cập nhật lịch sử sửa chữa và lưu hồ sơ, chứng từ liên quan.</w:t>
      </w:r>
    </w:p>
    <w:p>
      <w:pPr>
        <w:keepNext/>
        <w:spacing w:before="100" w:after="20" w:line="276" w:lineRule="auto"/>
      </w:pPr>
      <w:r>
        <w:rPr>
          <w:rFonts w:ascii="Times New Roman" w:hAnsi="Times New Roman" w:eastAsia="Times New Roman"/>
          <w:b/>
          <w:i w:val="0"/>
          <w:sz w:val="26"/>
        </w:rPr>
        <w:t>Điều 11. Nhiệm vụ hỗ trợ giảng dạy, thi cử, hội họp và sự kiện</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Tiếp nhận kế hoạch hoặc yêu cầu hỗ trợ; khảo sát địa điểm, điều kiện điện, mạng, âm thanh, ánh sáng, trình chiếu và thiết bị cần thiết.</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Chuẩn bị, lắp đặt, kiểm tra, vận hành thử và bố trí phương án dự phòng phù hợp với quy mô, tính chất hoạt động.</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Bố trí nhân sự trực kỹ thuật đối với hoạt động quan trọng theo phân công; phối hợp xử lý sự cố trong suốt thời gian diễn ra chương trình.</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Thực hiện thu hồi, kiểm đếm, kiểm tra, vệ sinh và bảo quản thiết bị sau khi kết thúc; lập biên bản nếu có mất mát, hư hỏng hoặc phát sinh bất thường.</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Đơn vị đề nghị hỗ trợ có trách nhiệm cung cấp kế hoạch, nội dung yêu cầu và thời gian triển khai đủ sớm; trường hợp phát sinh gấp, Tổ Kỹ thuật thực hiện theo khả năng và báo cáo lãnh đạo nếu không bảo đảm điều kiện.</w:t>
      </w:r>
    </w:p>
    <w:p>
      <w:pPr>
        <w:keepNext/>
        <w:spacing w:before="100" w:after="20" w:line="276" w:lineRule="auto"/>
      </w:pPr>
      <w:r>
        <w:rPr>
          <w:rFonts w:ascii="Times New Roman" w:hAnsi="Times New Roman" w:eastAsia="Times New Roman"/>
          <w:b/>
          <w:i w:val="0"/>
          <w:sz w:val="26"/>
        </w:rPr>
        <w:t>Điều 12. Nhiệm vụ đối với thiết bị công nghệ thông tin và hệ thống mạng</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Quản lý hiện trạng phần cứng, vị trí lắp đặt, nguồn điện, dây dẫn, tủ mạng, thiết bị đầu cuối và các thiết bị công nghệ thông tin theo phạm vi được giao.</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Phối hợp với bộ phận công nghệ thông tin trong việc lắp đặt, cấu hình, phân quyền, sao lưu, bảo mật, xử lý sự cố mạng, phần mềm và dữ liệu.</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Không tự ý truy cập dữ liệu cá nhân, tài khoản, nội dung lưu trữ hoặc thay đổi cấu hình hệ thống ngoài phạm vi nhiệm vụ; bảo mật thông tin tiếp cận trong quá trình hỗ trợ kỹ thuật.</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Kịp thời báo cáo các dấu hiệu mất an toàn thông tin, truy cập trái phép, nhiễm mã độc, mất dữ liệu hoặc hư hỏng có nguy cơ ảnh hưởng diện rộng.</w:t>
      </w:r>
    </w:p>
    <w:p>
      <w:pPr>
        <w:keepNext/>
        <w:spacing w:before="100" w:after="20" w:line="276" w:lineRule="auto"/>
      </w:pPr>
      <w:r>
        <w:rPr>
          <w:rFonts w:ascii="Times New Roman" w:hAnsi="Times New Roman" w:eastAsia="Times New Roman"/>
          <w:b/>
          <w:i w:val="0"/>
          <w:sz w:val="26"/>
        </w:rPr>
        <w:t>Điều 13. Nhiệm vụ kiểm kê, đánh giá và tham mưu đầu tư</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Phối hợp thực hiện kiểm kê định kỳ ít nhất 01 lần trong năm và kiểm kê đột xuất theo yêu cầu; đối chiếu giữa hồ sơ, dữ liệu và hiện trạng thực tế.</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Phân loại tình trạng tài sản theo mức: đang sử dụng tốt, cần bảo trì, cần sửa chữa, cần thay thế, không còn nhu cầu sử dụng hoặc đủ điều kiện đề xuất thanh lý.</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Phân tích nhu cầu, tần suất hư hỏng, chi phí sửa chữa, mức độ đáp ứng và khả năng khai thác để đề xuất mua sắm, nâng cấp, điều chuyển hoặc thanh lý.</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Tham gia xây dựng yêu cầu kỹ thuật, tiêu chí lựa chọn, kiểm tra, nghiệm thu và bàn giao thiết bị khi được phân công; bảo đảm đề xuất phù hợp nhu cầu, đồng bộ, tiết kiệm và có khả năng bảo trì lâu dài.</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Xây dựng kế hoạch đầu tư, sửa chữa và bảo trì hằng năm trong phạm vi phụ trách, trình lãnh đạo xem xét.</w:t>
      </w:r>
    </w:p>
    <w:p>
      <w:pPr>
        <w:keepNext/>
        <w:spacing w:before="100" w:after="20" w:line="276" w:lineRule="auto"/>
      </w:pPr>
      <w:r>
        <w:rPr>
          <w:rFonts w:ascii="Times New Roman" w:hAnsi="Times New Roman" w:eastAsia="Times New Roman"/>
          <w:b/>
          <w:i w:val="0"/>
          <w:sz w:val="26"/>
        </w:rPr>
        <w:t>Điều 14. Quyền hạn của Tổ Kỹ thuật</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Yêu cầu đơn vị, cá nhân sử dụng tài sản cung cấp thông tin, phối hợp kiểm tra, bàn giao thiết bị và thực hiện các biện pháp cần thiết để bảo đảm an toàn, bảo quản tài sản.</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Kiến nghị tạm ngừng vận hành hoặc niêm phong thiết bị, khu vực có nguy cơ mất an toàn, gây cháy nổ, chập điện, rò rỉ, hư hỏng nghiêm trọng hoặc ảnh hưởng đến hệ thống chung; đồng thời báo cáo ngay lãnh đạo có thẩm quyền.</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Từ chối thực hiện yêu cầu trái quy định, vượt thẩm quyền, không bảo đảm an toàn hoặc có nguy cơ làm mất dữ liệu, mất bảo hành, hư hỏng tài sản; việc từ chối phải nêu rõ lý do và báo cáo lãnh đạo phụ trách.</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Đề xuất đào tạo, bồi dưỡng chuyên môn; trang bị công cụ, phương tiện bảo hộ; bổ sung nhân lực, vật tư, kinh phí và điều kiện cần thiết để thực hiện nhiệm vụ.</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Được tham gia ý kiến chuyên môn đối với các kế hoạch mua sắm, sửa chữa, cải tạo, lắp đặt và nghiệm thu liên quan đến phạm vi phụ trách.</w:t>
      </w:r>
    </w:p>
    <w:p>
      <w:pPr>
        <w:keepNext/>
        <w:spacing w:before="160" w:after="0"/>
        <w:jc w:val="center"/>
      </w:pPr>
      <w:r>
        <w:rPr>
          <w:rFonts w:ascii="Times New Roman" w:hAnsi="Times New Roman" w:eastAsia="Times New Roman"/>
          <w:b/>
          <w:i w:val="0"/>
          <w:sz w:val="26"/>
        </w:rPr>
        <w:t>Chương III</w:t>
      </w:r>
    </w:p>
    <w:p>
      <w:pPr>
        <w:keepNext/>
        <w:spacing w:after="80"/>
        <w:jc w:val="center"/>
      </w:pPr>
      <w:r>
        <w:rPr>
          <w:rFonts w:ascii="Times New Roman" w:hAnsi="Times New Roman" w:eastAsia="Times New Roman"/>
          <w:b/>
          <w:i w:val="0"/>
          <w:sz w:val="26"/>
        </w:rPr>
        <w:t>CƠ CẤU TỔ CHỨC VÀ TRÁCH NHIỆM CỦA CÁC CHỨC DANH</w:t>
      </w:r>
    </w:p>
    <w:p>
      <w:pPr>
        <w:keepNext/>
        <w:spacing w:before="100" w:after="20" w:line="276" w:lineRule="auto"/>
      </w:pPr>
      <w:r>
        <w:rPr>
          <w:rFonts w:ascii="Times New Roman" w:hAnsi="Times New Roman" w:eastAsia="Times New Roman"/>
          <w:b/>
          <w:i w:val="0"/>
          <w:sz w:val="26"/>
        </w:rPr>
        <w:t>Điều 15. Cơ cấu tổ chức</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Tổ Kỹ thuật gồm Tổ trưởng, Tổ phó (nếu có), kỹ thuật viên, nhân viên quản trị thiết bị, nhân viên bảo trì, sửa chữa và các vị trí khác theo cơ cấu tổ chức được phê duyệt.</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Số lượng, vị trí việc làm, tiêu chuẩn chuyên môn và phạm vi nhiệm vụ của từng thành viên do cấp có thẩm quyền quyết định căn cứ quy mô, tính chất hoạt động của Nhà trường.</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Tổ Kỹ thuật làm việc theo chế độ thủ trưởng kết hợp trách nhiệm cá nhân; Tổ trưởng chịu trách nhiệm chung, thành viên chịu trách nhiệm trực tiếp đối với nhiệm vụ được phân công.</w:t>
      </w:r>
    </w:p>
    <w:p>
      <w:pPr>
        <w:keepNext/>
        <w:spacing w:before="100" w:after="20" w:line="276" w:lineRule="auto"/>
      </w:pPr>
      <w:r>
        <w:rPr>
          <w:rFonts w:ascii="Times New Roman" w:hAnsi="Times New Roman" w:eastAsia="Times New Roman"/>
          <w:b/>
          <w:i w:val="0"/>
          <w:sz w:val="26"/>
        </w:rPr>
        <w:t>Điều 16. Nhiệm vụ và trách nhiệm của Tổ trưởng</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Tổ chức điều hành toàn diện hoạt động của Tổ; xây dựng chương trình, kế hoạch công tác, phân công nhiệm vụ và kiểm soát tiến độ, chất lượng thực hiện.</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Chủ trì tiếp nhận, phân loại hoặc phân công xử lý các yêu cầu; điều phối nhân sự trong trường hợp khẩn cấp, sự kiện, thi cử hoặc công việc có phạm vi ảnh hưởng lớn.</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Kiểm tra việc chấp hành quy trình, an toàn, quản lý vật tư, công cụ, hồ sơ và chế độ báo cáo; kịp thời chấn chỉnh sai sót.</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Phối hợp với các đơn vị; tổng hợp khó khăn, rủi ro và đề xuất phương án xử lý, mua sắm, sửa chữa, điều chuyển, thanh lý hoặc thuê dịch vụ.</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Tổ chức họp Tổ, đánh giá kết quả thực hiện nhiệm vụ, đề xuất thi đua, khen thưởng, đào tạo, bồi dưỡng hoặc xử lý trách nhiệm theo quy định.</w:t>
      </w:r>
    </w:p>
    <w:p>
      <w:pPr>
        <w:spacing w:after="0" w:line="276" w:lineRule="auto"/>
        <w:ind w:left="0" w:firstLine="454"/>
        <w:jc w:val="both"/>
      </w:pPr>
      <w:r>
        <w:rPr>
          <w:rFonts w:ascii="Times New Roman" w:hAnsi="Times New Roman" w:eastAsia="Times New Roman"/>
          <w:b w:val="0"/>
          <w:i w:val="0"/>
          <w:sz w:val="26"/>
        </w:rPr>
        <w:t xml:space="preserve">6. </w:t>
      </w:r>
      <w:r>
        <w:rPr>
          <w:rFonts w:ascii="Times New Roman" w:hAnsi="Times New Roman" w:eastAsia="Times New Roman"/>
          <w:b w:val="0"/>
          <w:i w:val="0"/>
          <w:sz w:val="26"/>
        </w:rPr>
        <w:t>Chịu trách nhiệm trước lãnh đạo đơn vị quản lý và Ban Giám hiệu về hoạt động của Tổ và tính chính xác của báo cáo, đề xuất thuộc phạm vi phụ trách.</w:t>
      </w:r>
    </w:p>
    <w:p>
      <w:pPr>
        <w:keepNext/>
        <w:spacing w:before="100" w:after="20" w:line="276" w:lineRule="auto"/>
      </w:pPr>
      <w:r>
        <w:rPr>
          <w:rFonts w:ascii="Times New Roman" w:hAnsi="Times New Roman" w:eastAsia="Times New Roman"/>
          <w:b/>
          <w:i w:val="0"/>
          <w:sz w:val="26"/>
        </w:rPr>
        <w:t>Điều 17. Nhiệm vụ và trách nhiệm của Tổ phó</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Giúp Tổ trưởng điều hành một số lĩnh vực công tác theo phân công; chịu trách nhiệm trước Tổ trưởng và trước pháp luật về nhiệm vụ được giao.</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Thay mặt Tổ trưởng giải quyết công việc khi được ủy quyền; báo cáo đầy đủ kết quả và các vấn đề phát sinh.</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Trực tiếp kiểm tra hiện trường, hướng dẫn chuyên môn, theo dõi tiến độ, nghiệm thu nội bộ và tổng hợp hồ sơ đối với lĩnh vực phụ trách.</w:t>
      </w:r>
    </w:p>
    <w:p>
      <w:pPr>
        <w:keepNext/>
        <w:spacing w:before="100" w:after="20" w:line="276" w:lineRule="auto"/>
      </w:pPr>
      <w:r>
        <w:rPr>
          <w:rFonts w:ascii="Times New Roman" w:hAnsi="Times New Roman" w:eastAsia="Times New Roman"/>
          <w:b/>
          <w:i w:val="0"/>
          <w:sz w:val="26"/>
        </w:rPr>
        <w:t>Điều 18. Nhiệm vụ và trách nhiệm của thành viên Tổ Kỹ thuật</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Chấp hành sự phân công; thực hiện đúng quy trình, tiêu chuẩn kỹ thuật, thời gian và yêu cầu an toàn; chịu trách nhiệm về chất lượng công việc được giao.</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Có mặt kịp thời khi được điều động xử lý sự cố; chủ động báo cáo nếu công việc vượt khả năng, có nguy cơ mất an toàn hoặc không bảo đảm tiến độ.</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Bảo quản tài sản, vật tư, công cụ, thiết bị bảo hộ; sử dụng tiết kiệm, đúng mục đích và hoàn trả đầy đủ sau khi thực hiện nhiệm vụ.</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Ghi chép trung thực, cập nhật đầy đủ phiếu công việc, nhật ký, vật tư sử dụng, kết quả xử lý và tình trạng thiết bị sau khi hoàn thành.</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Giữ gìn bí mật công tác, thông tin kỹ thuật, tài khoản, dữ liệu và thông tin cá nhân tiếp cận trong quá trình làm việc.</w:t>
      </w:r>
    </w:p>
    <w:p>
      <w:pPr>
        <w:spacing w:after="0" w:line="276" w:lineRule="auto"/>
        <w:ind w:left="0" w:firstLine="454"/>
        <w:jc w:val="both"/>
      </w:pPr>
      <w:r>
        <w:rPr>
          <w:rFonts w:ascii="Times New Roman" w:hAnsi="Times New Roman" w:eastAsia="Times New Roman"/>
          <w:b w:val="0"/>
          <w:i w:val="0"/>
          <w:sz w:val="26"/>
        </w:rPr>
        <w:t xml:space="preserve">6. </w:t>
      </w:r>
      <w:r>
        <w:rPr>
          <w:rFonts w:ascii="Times New Roman" w:hAnsi="Times New Roman" w:eastAsia="Times New Roman"/>
          <w:b w:val="0"/>
          <w:i w:val="0"/>
          <w:sz w:val="26"/>
        </w:rPr>
        <w:t>Thường xuyên học tập, cập nhật chuyên môn, đề xuất sáng kiến cải tiến kỹ thuật và nâng cao chất lượng phục vụ.</w:t>
      </w:r>
    </w:p>
    <w:p>
      <w:pPr>
        <w:keepNext/>
        <w:spacing w:before="160" w:after="0"/>
        <w:jc w:val="center"/>
      </w:pPr>
      <w:r>
        <w:rPr>
          <w:rFonts w:ascii="Times New Roman" w:hAnsi="Times New Roman" w:eastAsia="Times New Roman"/>
          <w:b/>
          <w:i w:val="0"/>
          <w:sz w:val="26"/>
        </w:rPr>
        <w:t>Chương IV</w:t>
      </w:r>
    </w:p>
    <w:p>
      <w:pPr>
        <w:keepNext/>
        <w:spacing w:after="80"/>
        <w:jc w:val="center"/>
      </w:pPr>
      <w:r>
        <w:rPr>
          <w:rFonts w:ascii="Times New Roman" w:hAnsi="Times New Roman" w:eastAsia="Times New Roman"/>
          <w:b/>
          <w:i w:val="0"/>
          <w:sz w:val="26"/>
        </w:rPr>
        <w:t>QUY TRÌNH TIẾP NHẬN VÀ XỬ LÝ CÔNG VIỆC</w:t>
      </w:r>
    </w:p>
    <w:p>
      <w:pPr>
        <w:keepNext/>
        <w:spacing w:before="100" w:after="20" w:line="276" w:lineRule="auto"/>
      </w:pPr>
      <w:r>
        <w:rPr>
          <w:rFonts w:ascii="Times New Roman" w:hAnsi="Times New Roman" w:eastAsia="Times New Roman"/>
          <w:b/>
          <w:i w:val="0"/>
          <w:sz w:val="26"/>
        </w:rPr>
        <w:t>Điều 19. Kênh tiếp nhận yêu cầu</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Yêu cầu kỹ thuật được tiếp nhận qua hệ thống quản lý công việc, thư điện tử công vụ, phiếu đề nghị, văn bản, nhóm liên lạc nội bộ hoặc kênh khác do Nhà trường quy định.</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Trường hợp khẩn cấp có thể tiếp nhận qua điện thoại hoặc báo trực tiếp; người tiếp nhận phải ghi nhận nội dung tối thiểu gồm thời gian, địa điểm, người báo, biểu hiện sự cố và mức độ ảnh hưởng, sau đó bổ sung hồ sơ theo quy định.</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Yêu cầu phải nêu rõ đơn vị đề nghị, người liên hệ, nội dung, địa điểm, thời gian cần hoàn thành và các điều kiện liên quan. Tổ Kỹ thuật có quyền đề nghị bổ sung thông tin cần thiết để xử lý chính xác.</w:t>
      </w:r>
    </w:p>
    <w:p>
      <w:pPr>
        <w:keepNext/>
        <w:spacing w:before="100" w:after="20" w:line="276" w:lineRule="auto"/>
      </w:pPr>
      <w:r>
        <w:rPr>
          <w:rFonts w:ascii="Times New Roman" w:hAnsi="Times New Roman" w:eastAsia="Times New Roman"/>
          <w:b/>
          <w:i w:val="0"/>
          <w:sz w:val="26"/>
        </w:rPr>
        <w:t>Điều 20. Phân loại và mức độ ưu tiên</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Yêu cầu được phân loại theo các mức sau:</w:t>
      </w:r>
    </w:p>
    <w:p>
      <w:pPr>
        <w:spacing w:after="0" w:line="276" w:lineRule="auto"/>
        <w:ind w:left="425" w:hanging="255"/>
        <w:jc w:val="both"/>
      </w:pPr>
      <w:r>
        <w:rPr>
          <w:rFonts w:ascii="Times New Roman" w:hAnsi="Times New Roman" w:eastAsia="Times New Roman"/>
          <w:b w:val="0"/>
          <w:i w:val="0"/>
          <w:sz w:val="26"/>
        </w:rPr>
        <w:t xml:space="preserve">a) </w:t>
      </w:r>
      <w:r>
        <w:rPr>
          <w:rFonts w:ascii="Times New Roman" w:hAnsi="Times New Roman" w:eastAsia="Times New Roman"/>
          <w:b w:val="0"/>
          <w:i w:val="0"/>
          <w:sz w:val="26"/>
        </w:rPr>
        <w:t>Khẩn cấp: có nguy cơ ảnh hưởng đến an toàn con người, cháy nổ, điện, nước, an ninh, dữ liệu, mạng diện rộng, kỳ thi, giờ học đang diễn ra hoặc hoạt động trọng yếu;</w:t>
      </w:r>
    </w:p>
    <w:p>
      <w:pPr>
        <w:spacing w:after="0" w:line="276" w:lineRule="auto"/>
        <w:ind w:left="425" w:hanging="255"/>
        <w:jc w:val="both"/>
      </w:pPr>
      <w:r>
        <w:rPr>
          <w:rFonts w:ascii="Times New Roman" w:hAnsi="Times New Roman" w:eastAsia="Times New Roman"/>
          <w:b w:val="0"/>
          <w:i w:val="0"/>
          <w:sz w:val="26"/>
        </w:rPr>
        <w:t xml:space="preserve">b) </w:t>
      </w:r>
      <w:r>
        <w:rPr>
          <w:rFonts w:ascii="Times New Roman" w:hAnsi="Times New Roman" w:eastAsia="Times New Roman"/>
          <w:b w:val="0"/>
          <w:i w:val="0"/>
          <w:sz w:val="26"/>
        </w:rPr>
        <w:t>Ưu tiên cao: gây gián đoạn đáng kể hoạt động của một đơn vị, lớp học, phòng chức năng hoặc sự kiện đã được phê duyệt;</w:t>
      </w:r>
    </w:p>
    <w:p>
      <w:pPr>
        <w:spacing w:after="0" w:line="276" w:lineRule="auto"/>
        <w:ind w:left="425" w:hanging="255"/>
        <w:jc w:val="both"/>
      </w:pPr>
      <w:r>
        <w:rPr>
          <w:rFonts w:ascii="Times New Roman" w:hAnsi="Times New Roman" w:eastAsia="Times New Roman"/>
          <w:b w:val="0"/>
          <w:i w:val="0"/>
          <w:sz w:val="26"/>
        </w:rPr>
        <w:t xml:space="preserve">c) </w:t>
      </w:r>
      <w:r>
        <w:rPr>
          <w:rFonts w:ascii="Times New Roman" w:hAnsi="Times New Roman" w:eastAsia="Times New Roman"/>
          <w:b w:val="0"/>
          <w:i w:val="0"/>
          <w:sz w:val="26"/>
        </w:rPr>
        <w:t>Thông thường: hư hỏng cục bộ, chưa ảnh hưởng nghiêm trọng và có thể bố trí xử lý theo thứ tự;</w:t>
      </w:r>
    </w:p>
    <w:p>
      <w:pPr>
        <w:spacing w:after="0" w:line="276" w:lineRule="auto"/>
        <w:ind w:left="425" w:hanging="255"/>
        <w:jc w:val="both"/>
      </w:pPr>
      <w:r>
        <w:rPr>
          <w:rFonts w:ascii="Times New Roman" w:hAnsi="Times New Roman" w:eastAsia="Times New Roman"/>
          <w:b w:val="0"/>
          <w:i w:val="0"/>
          <w:sz w:val="26"/>
        </w:rPr>
        <w:t xml:space="preserve">d) </w:t>
      </w:r>
      <w:r>
        <w:rPr>
          <w:rFonts w:ascii="Times New Roman" w:hAnsi="Times New Roman" w:eastAsia="Times New Roman"/>
          <w:b w:val="0"/>
          <w:i w:val="0"/>
          <w:sz w:val="26"/>
        </w:rPr>
        <w:t>Định kỳ/kế hoạch: kiểm tra, bảo trì, lắp đặt, di dời, cải tạo hoặc hỗ trợ theo kế hoạch đã được duyệt.</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Việc xác định mức độ ưu tiên do Tổ trưởng hoặc người được phân công quyết định trên cơ sở mức độ an toàn, phạm vi ảnh hưởng, thời điểm phát sinh và nguồn lực thực tế.</w:t>
      </w:r>
    </w:p>
    <w:p>
      <w:pPr>
        <w:keepNext/>
        <w:spacing w:before="100" w:after="20" w:line="276" w:lineRule="auto"/>
      </w:pPr>
      <w:r>
        <w:rPr>
          <w:rFonts w:ascii="Times New Roman" w:hAnsi="Times New Roman" w:eastAsia="Times New Roman"/>
          <w:b/>
          <w:i w:val="0"/>
          <w:sz w:val="26"/>
        </w:rPr>
        <w:t>Điều 21. Thời gian phản hồi và xử lý</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Sự cố khẩn cấp: phản hồi hoặc có mặt kiểm tra trong thời gian không quá 30 phút trong giờ làm việc; ngoài giờ thực hiện theo chế độ trực, phân công hoặc điều động của lãnh đạo.</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Yêu cầu ưu tiên cao: phản hồi trong thời gian không quá 02 giờ làm việc và tổ chức xử lý sớm nhất có thể.</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Yêu cầu thông thường: phản hồi trong ngày làm việc và dự kiến hoàn thành trong vòng 24 giờ làm việc nếu đủ vật tư, điều kiện và thuộc khả năng xử lý nội bộ.</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Công việc định kỳ hoặc cần mua sắm, thuê đơn vị ngoài, chờ bảo hành, chờ linh kiện, cần ngừng hệ thống hoặc vượt thẩm quyền được thực hiện theo kế hoạch/tiến độ được phê duyệt. Tổ Kỹ thuật phải thông báo tình trạng và thời gian dự kiến cho đơn vị đề nghị.</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Thời gian nêu trên là thời gian phản hồi và tổ chức xử lý, không mặc nhiên là cam kết hoàn thành trong mọi trường hợp; việc hoàn thành phụ thuộc mức độ hư hỏng, vật tư, bảo hành, nguồn lực, thủ tục và điều kiện khách quan.</w:t>
      </w:r>
    </w:p>
    <w:p>
      <w:pPr>
        <w:keepNext/>
        <w:spacing w:before="100" w:after="20" w:line="276" w:lineRule="auto"/>
      </w:pPr>
      <w:r>
        <w:rPr>
          <w:rFonts w:ascii="Times New Roman" w:hAnsi="Times New Roman" w:eastAsia="Times New Roman"/>
          <w:b/>
          <w:i w:val="0"/>
          <w:sz w:val="26"/>
        </w:rPr>
        <w:t>Điều 22. Các bước xử lý và nghiệm thu công việc</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Tiếp nhận và ghi nhận yêu cầu;</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Khảo sát, chẩn đoán, đánh giá mức độ và rủi ro;</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Phân công người thực hiện, xác định phương án, vật tư, thời gian và biện pháp an toàn;</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Tổ chức xử lý, sửa chữa, bảo trì hoặc phối hợp đơn vị chuyên môn;</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Kiểm tra vận hành, vệ sinh và khôi phục hiện trạng khu vực;</w:t>
      </w:r>
    </w:p>
    <w:p>
      <w:pPr>
        <w:spacing w:after="0" w:line="276" w:lineRule="auto"/>
        <w:ind w:left="0" w:firstLine="454"/>
        <w:jc w:val="both"/>
      </w:pPr>
      <w:r>
        <w:rPr>
          <w:rFonts w:ascii="Times New Roman" w:hAnsi="Times New Roman" w:eastAsia="Times New Roman"/>
          <w:b w:val="0"/>
          <w:i w:val="0"/>
          <w:sz w:val="26"/>
        </w:rPr>
        <w:t xml:space="preserve">6. </w:t>
      </w:r>
      <w:r>
        <w:rPr>
          <w:rFonts w:ascii="Times New Roman" w:hAnsi="Times New Roman" w:eastAsia="Times New Roman"/>
          <w:b w:val="0"/>
          <w:i w:val="0"/>
          <w:sz w:val="26"/>
        </w:rPr>
        <w:t>Bàn giao, lấy xác nhận của đơn vị sử dụng hoặc lập biên bản nghiệm thu khi cần;</w:t>
      </w:r>
    </w:p>
    <w:p>
      <w:pPr>
        <w:spacing w:after="0" w:line="276" w:lineRule="auto"/>
        <w:ind w:left="0" w:firstLine="454"/>
        <w:jc w:val="both"/>
      </w:pPr>
      <w:r>
        <w:rPr>
          <w:rFonts w:ascii="Times New Roman" w:hAnsi="Times New Roman" w:eastAsia="Times New Roman"/>
          <w:b w:val="0"/>
          <w:i w:val="0"/>
          <w:sz w:val="26"/>
        </w:rPr>
        <w:t xml:space="preserve">7. </w:t>
      </w:r>
      <w:r>
        <w:rPr>
          <w:rFonts w:ascii="Times New Roman" w:hAnsi="Times New Roman" w:eastAsia="Times New Roman"/>
          <w:b w:val="0"/>
          <w:i w:val="0"/>
          <w:sz w:val="26"/>
        </w:rPr>
        <w:t>Cập nhật hồ sơ, nhật ký, vật tư sử dụng, chi phí và tình trạng sau xử lý;</w:t>
      </w:r>
    </w:p>
    <w:p>
      <w:pPr>
        <w:spacing w:after="0" w:line="276" w:lineRule="auto"/>
        <w:ind w:left="0" w:firstLine="454"/>
        <w:jc w:val="both"/>
      </w:pPr>
      <w:r>
        <w:rPr>
          <w:rFonts w:ascii="Times New Roman" w:hAnsi="Times New Roman" w:eastAsia="Times New Roman"/>
          <w:b w:val="0"/>
          <w:i w:val="0"/>
          <w:sz w:val="26"/>
        </w:rPr>
        <w:t xml:space="preserve">8. </w:t>
      </w:r>
      <w:r>
        <w:rPr>
          <w:rFonts w:ascii="Times New Roman" w:hAnsi="Times New Roman" w:eastAsia="Times New Roman"/>
          <w:b w:val="0"/>
          <w:i w:val="0"/>
          <w:sz w:val="26"/>
        </w:rPr>
        <w:t>Đóng yêu cầu hoặc chuyển bước tiếp theo nếu chưa hoàn thành.</w:t>
      </w:r>
    </w:p>
    <w:p>
      <w:pPr>
        <w:spacing w:after="0" w:line="276" w:lineRule="auto"/>
        <w:ind w:left="0" w:firstLine="454"/>
        <w:jc w:val="both"/>
      </w:pPr>
      <w:r>
        <w:rPr>
          <w:rFonts w:ascii="Times New Roman" w:hAnsi="Times New Roman" w:eastAsia="Times New Roman"/>
          <w:b w:val="0"/>
          <w:i w:val="0"/>
          <w:sz w:val="26"/>
        </w:rPr>
        <w:t xml:space="preserve">9. </w:t>
      </w:r>
      <w:r>
        <w:rPr>
          <w:rFonts w:ascii="Times New Roman" w:hAnsi="Times New Roman" w:eastAsia="Times New Roman"/>
          <w:b w:val="0"/>
          <w:i w:val="0"/>
          <w:sz w:val="26"/>
        </w:rPr>
        <w:t>Đối với công việc có nguy cơ cao, có thuê dịch vụ, có thay thế linh kiện quan trọng hoặc phát sinh kinh phí, phải lập hồ sơ, biên bản và nghiệm thu theo quy định hiện hành của Nhà trường.</w:t>
      </w:r>
    </w:p>
    <w:p>
      <w:pPr>
        <w:keepNext/>
        <w:spacing w:before="160" w:after="0"/>
        <w:jc w:val="center"/>
      </w:pPr>
      <w:r>
        <w:rPr>
          <w:rFonts w:ascii="Times New Roman" w:hAnsi="Times New Roman" w:eastAsia="Times New Roman"/>
          <w:b/>
          <w:i w:val="0"/>
          <w:sz w:val="26"/>
        </w:rPr>
        <w:t>Chương V</w:t>
      </w:r>
    </w:p>
    <w:p>
      <w:pPr>
        <w:keepNext/>
        <w:spacing w:after="80"/>
        <w:jc w:val="center"/>
      </w:pPr>
      <w:r>
        <w:rPr>
          <w:rFonts w:ascii="Times New Roman" w:hAnsi="Times New Roman" w:eastAsia="Times New Roman"/>
          <w:b/>
          <w:i w:val="0"/>
          <w:sz w:val="26"/>
        </w:rPr>
        <w:t>QUẢN LÝ AN TOÀN, HỒ SƠ VÀ CHẾ ĐỘ TRỰC</w:t>
      </w:r>
    </w:p>
    <w:p>
      <w:pPr>
        <w:keepNext/>
        <w:spacing w:before="100" w:after="20" w:line="276" w:lineRule="auto"/>
      </w:pPr>
      <w:r>
        <w:rPr>
          <w:rFonts w:ascii="Times New Roman" w:hAnsi="Times New Roman" w:eastAsia="Times New Roman"/>
          <w:b/>
          <w:i w:val="0"/>
          <w:sz w:val="26"/>
        </w:rPr>
        <w:t>Điều 23. An toàn lao động, an toàn điện và phòng cháy, chữa cháy</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Thành viên Tổ Kỹ thuật phải tuân thủ quy trình an toàn, sử dụng đầy đủ phương tiện bảo hộ, biển cảnh báo, dụng cụ cách điện và biện pháp cô lập nguồn điện, nguồn nước hoặc khu vực nguy hiểm khi cần.</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Không làm việc trên thiết bị đang mang điện, ở độ cao, trong không gian hạn chế hoặc khu vực có nguy cơ cháy nổ khi chưa bảo đảm điều kiện, phương tiện và người giám sát theo quy định.</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Không sử dụng vật tư, linh kiện không rõ nguồn gốc, sai thông số hoặc không đáp ứng yêu cầu kỹ thuật; không đấu nối tạm bợ gây nguy cơ mất an toàn.</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Sự cố có nguy cơ gây tai nạn, cháy nổ hoặc thiệt hại lớn phải được cô lập, báo động, báo cáo và phối hợp lực lượng chức năng theo phương án của Nhà trường.</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Tổ Kỹ thuật phối hợp kiểm tra hệ thống điện, thiết bị phòng cháy, chữa cháy và các điều kiện kỹ thuật theo kế hoạch; kịp thời kiến nghị khắc phục tồn tại.</w:t>
      </w:r>
    </w:p>
    <w:p>
      <w:pPr>
        <w:keepNext/>
        <w:spacing w:before="100" w:after="20" w:line="276" w:lineRule="auto"/>
      </w:pPr>
      <w:r>
        <w:rPr>
          <w:rFonts w:ascii="Times New Roman" w:hAnsi="Times New Roman" w:eastAsia="Times New Roman"/>
          <w:b/>
          <w:i w:val="0"/>
          <w:sz w:val="26"/>
        </w:rPr>
        <w:t>Điều 24. Hồ sơ và nhật ký quản lý</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Mỗi tài sản hoặc nhóm tài sản, tùy tính chất, phải có các thông tin: mã tài sản, tên, thông số, nguồn gốc, ngày đưa vào sử dụng, vị trí, đơn vị quản lý/sử dụng, bảo hành, tình trạng, lịch sử điều chuyển, bảo trì và sửa chữa.</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Hồ sơ công việc gồm phiếu yêu cầu, phiếu kiểm tra, nhật ký, biên bản, báo giá, đề xuất, hồ sơ bảo hành, nghiệm thu, bàn giao và tài liệu khác có liên quan.</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Hồ sơ được quản lý bằng bản giấy, dữ liệu điện tử hoặc đồng thời cả hai theo quy định; phải bảo đảm đầy đủ, dễ tra cứu, có phân quyền và được lưu trữ đúng thời hạn.</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Nghiêm cấm tẩy xóa, hợp thức hóa, ghi sai sự thật, làm thất lạc hoặc tự ý cung cấp hồ sơ, dữ liệu cho tổ chức, cá nhân không có thẩm quyền.</w:t>
      </w:r>
    </w:p>
    <w:p>
      <w:pPr>
        <w:keepNext/>
        <w:spacing w:before="100" w:after="20" w:line="276" w:lineRule="auto"/>
      </w:pPr>
      <w:r>
        <w:rPr>
          <w:rFonts w:ascii="Times New Roman" w:hAnsi="Times New Roman" w:eastAsia="Times New Roman"/>
          <w:b/>
          <w:i w:val="0"/>
          <w:sz w:val="26"/>
        </w:rPr>
        <w:t>Điều 25. Chế độ trực và xử lý ngoài giờ</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Căn cứ yêu cầu thực tế, Tổ trưởng xây dựng lịch trực hoặc phương án liên hệ xử lý sự cố ngoài giờ, ngày nghỉ, ngày lễ đối với các hệ thống thiết yếu, sự kiện, kỳ thi và nhiệm vụ đặc biệt, trình lãnh đạo phê duyệt.</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Người được phân công trực phải bảo đảm liên lạc, tiếp nhận thông tin, đánh giá sơ bộ và thực hiện theo quy trình; trường hợp vượt khả năng phải báo cáo ngay người có thẩm quyền.</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Chế độ làm thêm giờ, trực, nghỉ bù và các quyền lợi liên quan thực hiện theo quy định pháp luật và quy định của Nhà trường.</w:t>
      </w:r>
    </w:p>
    <w:p>
      <w:pPr>
        <w:keepNext/>
        <w:spacing w:before="160" w:after="0"/>
        <w:jc w:val="center"/>
      </w:pPr>
      <w:r>
        <w:rPr>
          <w:rFonts w:ascii="Times New Roman" w:hAnsi="Times New Roman" w:eastAsia="Times New Roman"/>
          <w:b/>
          <w:i w:val="0"/>
          <w:sz w:val="26"/>
        </w:rPr>
        <w:t>Chương VI</w:t>
      </w:r>
    </w:p>
    <w:p>
      <w:pPr>
        <w:keepNext/>
        <w:spacing w:after="80"/>
        <w:jc w:val="center"/>
      </w:pPr>
      <w:r>
        <w:rPr>
          <w:rFonts w:ascii="Times New Roman" w:hAnsi="Times New Roman" w:eastAsia="Times New Roman"/>
          <w:b/>
          <w:i w:val="0"/>
          <w:sz w:val="26"/>
        </w:rPr>
        <w:t>CHẾ ĐỘ BÁO CÁO VÀ QUAN HỆ PHỐI HỢP</w:t>
      </w:r>
    </w:p>
    <w:p>
      <w:pPr>
        <w:keepNext/>
        <w:spacing w:before="100" w:after="20" w:line="276" w:lineRule="auto"/>
      </w:pPr>
      <w:r>
        <w:rPr>
          <w:rFonts w:ascii="Times New Roman" w:hAnsi="Times New Roman" w:eastAsia="Times New Roman"/>
          <w:b/>
          <w:i w:val="0"/>
          <w:sz w:val="26"/>
        </w:rPr>
        <w:t>Điều 26. Chế độ họp và báo cáo</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Tổ Kỹ thuật họp định kỳ ít nhất 01 lần/tháng hoặc đột xuất theo yêu cầu để đánh giá kết quả, tiến độ, sự cố, tồn tại, an toàn và kế hoạch kỳ tiếp theo.</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Báo cáo tháng gồm tình hình tiếp nhận và xử lý yêu cầu, sửa chữa, vật tư sử dụng, thiết bị hư hỏng, sự cố, tồn đọng và kiến nghị.</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Báo cáo quý gồm kết quả bảo trì, đánh giá tình trạng và hiệu quả sử dụng thiết bị, chi phí, rủi ro và đề xuất đầu tư, sửa chữa, điều chuyển hoặc thanh lý.</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Báo cáo năm gồm tổng hợp tài sản, kết quả kiểm kê, bảo trì, sửa chữa, mua sắm, thanh lý, đánh giá mức độ đáp ứng, kế hoạch và dự toán năm tiếp theo.</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Sự cố nghiêm trọng, tai nạn, mất an toàn, mất tài sản, mất dữ liệu hoặc gián đoạn diện rộng phải báo cáo ngay bằng phương thức nhanh nhất, sau đó lập báo cáo bằng văn bản.</w:t>
      </w:r>
    </w:p>
    <w:p>
      <w:pPr>
        <w:keepNext/>
        <w:spacing w:before="100" w:after="20" w:line="276" w:lineRule="auto"/>
      </w:pPr>
      <w:r>
        <w:rPr>
          <w:rFonts w:ascii="Times New Roman" w:hAnsi="Times New Roman" w:eastAsia="Times New Roman"/>
          <w:b/>
          <w:i w:val="0"/>
          <w:sz w:val="26"/>
        </w:rPr>
        <w:t>Điều 27. Trách nhiệm phối hợp của các đơn vị và cá nhân sử dụng</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Sử dụng tài sản, thiết bị đúng mục đích, đúng hướng dẫn; thực hiện vệ sinh, bảo quản cơ bản và không tự ý tháo lắp, di dời, sửa chữa, cho mượn hoặc thay đổi cấu hình.</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Thông báo kịp thời khi phát hiện bất thường, hư hỏng hoặc mất an toàn; ngừng sử dụng khi có dấu hiệu nguy hiểm và bảo vệ hiện trường khi cần.</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Cung cấp đầy đủ thông tin, bố trí người phối hợp, tạo điều kiện tiếp cận địa điểm và ký xác nhận bàn giao, nghiệm thu hoặc kết quả xử lý.</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Lập kế hoạch và gửi yêu cầu hỗ trợ kỹ thuật đối với giảng dạy, hội họp, thi cử, sự kiện theo thời hạn do Nhà trường quy định; chịu trách nhiệm về nội dung, lịch trình và các thay đổi phát sinh.</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Phối hợp kiểm kê, đối chiếu, điều chuyển, thu hồi và thực hiện kiến nghị khắc phục của Tổ Kỹ thuật; chịu trách nhiệm đối với hư hỏng, thất thoát do sử dụng sai quy định hoặc thiếu trách nhiệm theo kết luận của cấp có thẩm quyền.</w:t>
      </w:r>
    </w:p>
    <w:p>
      <w:pPr>
        <w:keepNext/>
        <w:spacing w:before="100" w:after="20" w:line="276" w:lineRule="auto"/>
      </w:pPr>
      <w:r>
        <w:rPr>
          <w:rFonts w:ascii="Times New Roman" w:hAnsi="Times New Roman" w:eastAsia="Times New Roman"/>
          <w:b/>
          <w:i w:val="0"/>
          <w:sz w:val="26"/>
        </w:rPr>
        <w:t>Điều 28. Phối hợp với các đơn vị chức năng</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Phối hợp với bộ phận tài chính - kế toán, hành chính - quản trị và quản lý tài sản trong lập kế hoạch, dự toán, mua sắm, cấp phát, kiểm kê, điều chuyển, thanh lý và quản lý hồ sơ tài sản.</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Phối hợp với bộ phận công nghệ thông tin trong quản trị mạng, phần mềm, tài khoản, dữ liệu, bảo mật và xử lý sự cố công nghệ thông tin.</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Phối hợp với các khoa, trung tâm, đơn vị đào tạo trong chuẩn bị phòng học, phòng thực hành, thiết bị giảng dạy, thi cử và hoạt động chuyên môn.</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Phối hợp với bộ phận bảo vệ, an toàn, y tế và phòng cháy, chữa cháy trong phòng ngừa, ứng phó và khắc phục sự cố.</w:t>
      </w:r>
    </w:p>
    <w:p>
      <w:pPr>
        <w:spacing w:after="0" w:line="276" w:lineRule="auto"/>
        <w:ind w:left="0" w:firstLine="454"/>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Phối hợp với nhà cung cấp, đơn vị bảo hành, sửa chữa và tư vấn kỹ thuật theo đúng hợp đồng, phân công và quy định của Nhà trường.</w:t>
      </w:r>
    </w:p>
    <w:p>
      <w:pPr>
        <w:keepNext/>
        <w:spacing w:before="160" w:after="0"/>
        <w:jc w:val="center"/>
      </w:pPr>
      <w:r>
        <w:rPr>
          <w:rFonts w:ascii="Times New Roman" w:hAnsi="Times New Roman" w:eastAsia="Times New Roman"/>
          <w:b/>
          <w:i w:val="0"/>
          <w:sz w:val="26"/>
        </w:rPr>
        <w:t>Chương VII</w:t>
      </w:r>
    </w:p>
    <w:p>
      <w:pPr>
        <w:keepNext/>
        <w:spacing w:after="80"/>
        <w:jc w:val="center"/>
      </w:pPr>
      <w:r>
        <w:rPr>
          <w:rFonts w:ascii="Times New Roman" w:hAnsi="Times New Roman" w:eastAsia="Times New Roman"/>
          <w:b/>
          <w:i w:val="0"/>
          <w:sz w:val="26"/>
        </w:rPr>
        <w:t>QUẢN LÝ KINH PHÍ, VẬT TƯ VÀ THUÊ DỊCH VỤ KỸ THUẬT</w:t>
      </w:r>
    </w:p>
    <w:p>
      <w:pPr>
        <w:keepNext/>
        <w:spacing w:before="100" w:after="20" w:line="276" w:lineRule="auto"/>
      </w:pPr>
      <w:r>
        <w:rPr>
          <w:rFonts w:ascii="Times New Roman" w:hAnsi="Times New Roman" w:eastAsia="Times New Roman"/>
          <w:b/>
          <w:i w:val="0"/>
          <w:sz w:val="26"/>
        </w:rPr>
        <w:t>Điều 29. Nguyên tắc sử dụng kinh phí và vật tư</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Kinh phí, vật tư, linh kiện và công cụ được sử dụng đúng mục đích, đúng định mức, có căn cứ, hồ sơ và được phê duyệt theo thẩm quyền.</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Ưu tiên sửa chữa, tái sử dụng hoặc điều chuyển khi bảo đảm an toàn, hiệu quả và kinh tế; không kéo dài sử dụng thiết bị không an toàn hoặc chi phí sửa chữa không hợp lý.</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Việc cấp phát, thay thế vật tư phải được ghi nhận; vật tư, linh kiện thu hồi có giá trị hoặc thuộc diện quản lý phải được bàn giao, nhập kho hoặc xử lý theo quy định.</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Nghiêm cấm lợi dụng nhiệm vụ để sử dụng vật tư, tài sản, thiết bị, nhân lực hoặc thông tin của Nhà trường cho mục đích cá nhân.</w:t>
      </w:r>
    </w:p>
    <w:p>
      <w:pPr>
        <w:keepNext/>
        <w:spacing w:before="100" w:after="20" w:line="276" w:lineRule="auto"/>
      </w:pPr>
      <w:r>
        <w:rPr>
          <w:rFonts w:ascii="Times New Roman" w:hAnsi="Times New Roman" w:eastAsia="Times New Roman"/>
          <w:b/>
          <w:i w:val="0"/>
          <w:sz w:val="26"/>
        </w:rPr>
        <w:t>Điều 30. Thuê dịch vụ, bảo hành và sửa chữa bên ngoài</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Việc thuê dịch vụ hoặc sửa chữa bên ngoài được thực hiện khi vượt khả năng chuyên môn, thiếu công cụ, liên quan bảo hành, cần chứng nhận chuyên ngành hoặc xét thấy hiệu quả hơn tự thực hiện.</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Tổ Kỹ thuật có trách nhiệm khảo sát, mô tả yêu cầu kỹ thuật, kiểm tra báo giá trong phạm vi chuyên môn, giám sát quá trình thực hiện và phối hợp nghiệm thu.</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Đơn vị cung cấp dịch vụ phải tuân thủ nội quy, an toàn, bảo mật và yêu cầu kỹ thuật của Nhà trường; mọi thay đổi phát sinh phải được chấp thuận theo thẩm quyền.</w:t>
      </w:r>
    </w:p>
    <w:p>
      <w:pPr>
        <w:spacing w:after="0" w:line="276" w:lineRule="auto"/>
        <w:ind w:left="0" w:firstLine="454"/>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Hồ sơ bảo hành, sửa chữa, thay thế linh kiện, kết quả kiểm tra và nghiệm thu phải được lưu cùng hồ sơ tài sản.</w:t>
      </w:r>
    </w:p>
    <w:p>
      <w:pPr>
        <w:keepNext/>
        <w:spacing w:before="160" w:after="0"/>
        <w:jc w:val="center"/>
      </w:pPr>
      <w:r>
        <w:rPr>
          <w:rFonts w:ascii="Times New Roman" w:hAnsi="Times New Roman" w:eastAsia="Times New Roman"/>
          <w:b/>
          <w:i w:val="0"/>
          <w:sz w:val="26"/>
        </w:rPr>
        <w:t>Chương VIII</w:t>
      </w:r>
    </w:p>
    <w:p>
      <w:pPr>
        <w:keepNext/>
        <w:spacing w:after="80"/>
        <w:jc w:val="center"/>
      </w:pPr>
      <w:r>
        <w:rPr>
          <w:rFonts w:ascii="Times New Roman" w:hAnsi="Times New Roman" w:eastAsia="Times New Roman"/>
          <w:b/>
          <w:i w:val="0"/>
          <w:sz w:val="26"/>
        </w:rPr>
        <w:t>KHEN THƯỞNG VÀ XỬ LÝ VI PHẠM</w:t>
      </w:r>
    </w:p>
    <w:p>
      <w:pPr>
        <w:keepNext/>
        <w:spacing w:before="100" w:after="20" w:line="276" w:lineRule="auto"/>
      </w:pPr>
      <w:r>
        <w:rPr>
          <w:rFonts w:ascii="Times New Roman" w:hAnsi="Times New Roman" w:eastAsia="Times New Roman"/>
          <w:b/>
          <w:i w:val="0"/>
          <w:sz w:val="26"/>
        </w:rPr>
        <w:t>Điều 31. Khen thưởng</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Tập thể, cá nhân có thành tích xuất sắc, xử lý sự cố hiệu quả, tiết kiệm chi phí, bảo đảm an toàn, có sáng kiến cải tiến hoặc nâng cao chất lượng phục vụ được xem xét biểu dương, khen thưởng theo quy định của Nhà trường.</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Kết quả chấp hành quy chế, chất lượng công việc, tinh thần phối hợp và việc cập nhật hồ sơ là căn cứ đánh giá mức độ hoàn thành nhiệm vụ hằng năm.</w:t>
      </w:r>
    </w:p>
    <w:p>
      <w:pPr>
        <w:keepNext/>
        <w:spacing w:before="100" w:after="20" w:line="276" w:lineRule="auto"/>
      </w:pPr>
      <w:r>
        <w:rPr>
          <w:rFonts w:ascii="Times New Roman" w:hAnsi="Times New Roman" w:eastAsia="Times New Roman"/>
          <w:b/>
          <w:i w:val="0"/>
          <w:sz w:val="26"/>
        </w:rPr>
        <w:t>Điều 32. Hành vi vi phạm và xử lý trách nhiệm</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Các hành vi vi phạm gồm:</w:t>
      </w:r>
    </w:p>
    <w:p>
      <w:pPr>
        <w:spacing w:after="0" w:line="276" w:lineRule="auto"/>
        <w:ind w:left="425" w:hanging="255"/>
        <w:jc w:val="both"/>
      </w:pPr>
      <w:r>
        <w:rPr>
          <w:rFonts w:ascii="Times New Roman" w:hAnsi="Times New Roman" w:eastAsia="Times New Roman"/>
          <w:b w:val="0"/>
          <w:i w:val="0"/>
          <w:sz w:val="26"/>
        </w:rPr>
        <w:t xml:space="preserve">a) </w:t>
      </w:r>
      <w:r>
        <w:rPr>
          <w:rFonts w:ascii="Times New Roman" w:hAnsi="Times New Roman" w:eastAsia="Times New Roman"/>
          <w:b w:val="0"/>
          <w:i w:val="0"/>
          <w:sz w:val="26"/>
        </w:rPr>
        <w:t>Không thực hiện hoặc thực hiện không đầy đủ nhiệm vụ được phân công mà không có lý do chính đáng;</w:t>
      </w:r>
    </w:p>
    <w:p>
      <w:pPr>
        <w:spacing w:after="0" w:line="276" w:lineRule="auto"/>
        <w:ind w:left="425" w:hanging="255"/>
        <w:jc w:val="both"/>
      </w:pPr>
      <w:r>
        <w:rPr>
          <w:rFonts w:ascii="Times New Roman" w:hAnsi="Times New Roman" w:eastAsia="Times New Roman"/>
          <w:b w:val="0"/>
          <w:i w:val="0"/>
          <w:sz w:val="26"/>
        </w:rPr>
        <w:t xml:space="preserve">b) </w:t>
      </w:r>
      <w:r>
        <w:rPr>
          <w:rFonts w:ascii="Times New Roman" w:hAnsi="Times New Roman" w:eastAsia="Times New Roman"/>
          <w:b w:val="0"/>
          <w:i w:val="0"/>
          <w:sz w:val="26"/>
        </w:rPr>
        <w:t>Chậm tiếp nhận, xử lý hoặc báo cáo sự cố gây hậu quả;</w:t>
      </w:r>
    </w:p>
    <w:p>
      <w:pPr>
        <w:spacing w:after="0" w:line="276" w:lineRule="auto"/>
        <w:ind w:left="425" w:hanging="255"/>
        <w:jc w:val="both"/>
      </w:pPr>
      <w:r>
        <w:rPr>
          <w:rFonts w:ascii="Times New Roman" w:hAnsi="Times New Roman" w:eastAsia="Times New Roman"/>
          <w:b w:val="0"/>
          <w:i w:val="0"/>
          <w:sz w:val="26"/>
        </w:rPr>
        <w:t xml:space="preserve">c) </w:t>
      </w:r>
      <w:r>
        <w:rPr>
          <w:rFonts w:ascii="Times New Roman" w:hAnsi="Times New Roman" w:eastAsia="Times New Roman"/>
          <w:b w:val="0"/>
          <w:i w:val="0"/>
          <w:sz w:val="26"/>
        </w:rPr>
        <w:t>Thiếu trách nhiệm làm hư hỏng, mất mát, thất thoát tài sản, vật tư, hồ sơ hoặc dữ liệu;</w:t>
      </w:r>
    </w:p>
    <w:p>
      <w:pPr>
        <w:spacing w:after="0" w:line="276" w:lineRule="auto"/>
        <w:ind w:left="425" w:hanging="255"/>
        <w:jc w:val="both"/>
      </w:pPr>
      <w:r>
        <w:rPr>
          <w:rFonts w:ascii="Times New Roman" w:hAnsi="Times New Roman" w:eastAsia="Times New Roman"/>
          <w:b w:val="0"/>
          <w:i w:val="0"/>
          <w:sz w:val="26"/>
        </w:rPr>
        <w:t xml:space="preserve">d) </w:t>
      </w:r>
      <w:r>
        <w:rPr>
          <w:rFonts w:ascii="Times New Roman" w:hAnsi="Times New Roman" w:eastAsia="Times New Roman"/>
          <w:b w:val="0"/>
          <w:i w:val="0"/>
          <w:sz w:val="26"/>
        </w:rPr>
        <w:t>Vi phạm quy định an toàn lao động, an toàn điện, phòng cháy, chữa cháy, bảo mật hoặc bảo vệ môi trường;</w:t>
      </w:r>
    </w:p>
    <w:p>
      <w:pPr>
        <w:spacing w:after="0" w:line="276" w:lineRule="auto"/>
        <w:ind w:left="425" w:hanging="255"/>
        <w:jc w:val="both"/>
      </w:pPr>
      <w:r>
        <w:rPr>
          <w:rFonts w:ascii="Times New Roman" w:hAnsi="Times New Roman" w:eastAsia="Times New Roman"/>
          <w:b w:val="0"/>
          <w:i w:val="0"/>
          <w:sz w:val="26"/>
        </w:rPr>
        <w:t xml:space="preserve">đ) </w:t>
      </w:r>
      <w:r>
        <w:rPr>
          <w:rFonts w:ascii="Times New Roman" w:hAnsi="Times New Roman" w:eastAsia="Times New Roman"/>
          <w:b w:val="0"/>
          <w:i w:val="0"/>
          <w:sz w:val="26"/>
        </w:rPr>
        <w:t>Tự ý sửa chữa, thay đổi, di dời, cấp phát, cho mượn, thanh lý hoặc sử dụng tài sản không đúng thẩm quyền;</w:t>
      </w:r>
    </w:p>
    <w:p>
      <w:pPr>
        <w:spacing w:after="0" w:line="276" w:lineRule="auto"/>
        <w:ind w:left="425" w:hanging="255"/>
        <w:jc w:val="both"/>
      </w:pPr>
      <w:r>
        <w:rPr>
          <w:rFonts w:ascii="Times New Roman" w:hAnsi="Times New Roman" w:eastAsia="Times New Roman"/>
          <w:b w:val="0"/>
          <w:i w:val="0"/>
          <w:sz w:val="26"/>
        </w:rPr>
        <w:t xml:space="preserve">e) </w:t>
      </w:r>
      <w:r>
        <w:rPr>
          <w:rFonts w:ascii="Times New Roman" w:hAnsi="Times New Roman" w:eastAsia="Times New Roman"/>
          <w:b w:val="0"/>
          <w:i w:val="0"/>
          <w:sz w:val="26"/>
        </w:rPr>
        <w:t>Báo cáo sai sự thật, che giấu sự cố, hợp thức hóa hồ sơ hoặc sử dụng vật tư, kinh phí không đúng quy định;</w:t>
      </w:r>
    </w:p>
    <w:p>
      <w:pPr>
        <w:spacing w:after="0" w:line="276" w:lineRule="auto"/>
        <w:ind w:left="425" w:hanging="255"/>
        <w:jc w:val="both"/>
      </w:pPr>
      <w:r>
        <w:rPr>
          <w:rFonts w:ascii="Times New Roman" w:hAnsi="Times New Roman" w:eastAsia="Times New Roman"/>
          <w:b w:val="0"/>
          <w:i w:val="0"/>
          <w:sz w:val="26"/>
        </w:rPr>
        <w:t xml:space="preserve">g) </w:t>
      </w:r>
      <w:r>
        <w:rPr>
          <w:rFonts w:ascii="Times New Roman" w:hAnsi="Times New Roman" w:eastAsia="Times New Roman"/>
          <w:b w:val="0"/>
          <w:i w:val="0"/>
          <w:sz w:val="26"/>
        </w:rPr>
        <w:t>Có thái độ thiếu chuẩn mực, gây phiền hà, không phối hợp hoặc lợi dụng nhiệm vụ vì mục đích cá nhân.</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Tùy tính chất, mức độ và hậu quả, tổ chức, cá nhân vi phạm bị nhắc nhở, phê bình, trừ thi đua, xử lý kỷ luật, bồi thường thiệt hại hoặc chuyển cơ quan có thẩm quyền xử lý theo quy định của pháp luật và quy định nội bộ của Nhà trường.</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Việc xem xét trách nhiệm phải khách quan, đúng thẩm quyền, có căn cứ và bảo đảm quyền giải trình của cá nhân, đơn vị có liên quan.</w:t>
      </w:r>
    </w:p>
    <w:p>
      <w:pPr>
        <w:keepNext/>
        <w:spacing w:before="160" w:after="0"/>
        <w:jc w:val="center"/>
      </w:pPr>
      <w:r>
        <w:rPr>
          <w:rFonts w:ascii="Times New Roman" w:hAnsi="Times New Roman" w:eastAsia="Times New Roman"/>
          <w:b/>
          <w:i w:val="0"/>
          <w:sz w:val="26"/>
        </w:rPr>
        <w:t>Chương IX</w:t>
      </w:r>
    </w:p>
    <w:p>
      <w:pPr>
        <w:keepNext/>
        <w:spacing w:after="80"/>
        <w:jc w:val="center"/>
      </w:pPr>
      <w:r>
        <w:rPr>
          <w:rFonts w:ascii="Times New Roman" w:hAnsi="Times New Roman" w:eastAsia="Times New Roman"/>
          <w:b/>
          <w:i w:val="0"/>
          <w:sz w:val="26"/>
        </w:rPr>
        <w:t>ĐIỀU KHOẢN THI HÀNH</w:t>
      </w:r>
    </w:p>
    <w:p>
      <w:pPr>
        <w:keepNext/>
        <w:spacing w:before="100" w:after="20" w:line="276" w:lineRule="auto"/>
      </w:pPr>
      <w:r>
        <w:rPr>
          <w:rFonts w:ascii="Times New Roman" w:hAnsi="Times New Roman" w:eastAsia="Times New Roman"/>
          <w:b/>
          <w:i w:val="0"/>
          <w:sz w:val="26"/>
        </w:rPr>
        <w:t>Điều 33. Tổ chức thực hiện</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Lãnh đạo [Phòng Hành chính - Quản trị/đơn vị quản lý], Tổ trưởng Tổ Kỹ thuật, thủ trưởng các đơn vị và cá nhân có liên quan chịu trách nhiệm tổ chức thực hiện Quy chế này.</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Tổ trưởng Tổ Kỹ thuật có trách nhiệm cụ thể hóa Quy chế thành quy trình, biểu mẫu, kế hoạch bảo trì, danh mục kiểm tra, phân công nhiệm vụ và hướng dẫn thực hiện phù hợp với điều kiện thực tế.</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Các quy trình, hướng dẫn chuyên ngành đã được ban hành tiếp tục được áp dụng nếu không trái với Quy chế này.</w:t>
      </w:r>
    </w:p>
    <w:p>
      <w:pPr>
        <w:keepNext/>
        <w:spacing w:before="100" w:after="20" w:line="276" w:lineRule="auto"/>
      </w:pPr>
      <w:r>
        <w:rPr>
          <w:rFonts w:ascii="Times New Roman" w:hAnsi="Times New Roman" w:eastAsia="Times New Roman"/>
          <w:b/>
          <w:i w:val="0"/>
          <w:sz w:val="26"/>
        </w:rPr>
        <w:t>Điều 34. Hiệu lực và sửa đổi, bổ sung</w:t>
      </w:r>
    </w:p>
    <w:p>
      <w:pPr>
        <w:spacing w:after="0" w:line="276" w:lineRule="auto"/>
        <w:ind w:left="0" w:firstLine="454"/>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Quy chế này có hiệu lực kể từ ngày Quyết định ban hành có hiệu lực.</w:t>
      </w:r>
    </w:p>
    <w:p>
      <w:pPr>
        <w:spacing w:after="0" w:line="276" w:lineRule="auto"/>
        <w:ind w:left="0" w:firstLine="454"/>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Trong quá trình thực hiện, nếu có khó khăn, vướng mắc hoặc phát sinh nội dung chưa phù hợp, các đơn vị phản ánh bằng văn bản về Tổ Kỹ thuật/[Phòng Hành chính - Quản trị] để tổng hợp, báo cáo Ban Giám hiệu xem xét sửa đổi, bổ sung.</w:t>
      </w:r>
    </w:p>
    <w:p>
      <w:pPr>
        <w:spacing w:after="0" w:line="276" w:lineRule="auto"/>
        <w:ind w:left="0" w:firstLine="454"/>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Việc sửa đổi, bổ sung Quy chế do Hiệu trưởng hoặc người có thẩm quyền quyết định.</w:t>
      </w:r>
    </w:p>
    <w:p>
      <w:pPr>
        <w:spacing w:before="320"/>
      </w:pPr>
    </w:p>
    <w:tbl>
      <w:tblPr>
        <w:tblW w:type="auto" w:w="0"/>
        <w:jc w:val="center"/>
        <w:tblLayout w:type="fixed"/>
        <w:tblLook w:firstColumn="1" w:firstRow="1" w:lastColumn="0" w:lastRow="0" w:noHBand="0" w:noVBand="1" w:val="04A0"/>
      </w:tblPr>
      <w:tblGrid>
        <w:gridCol w:w="4535"/>
        <w:gridCol w:w="4535"/>
      </w:tblGrid>
      <w:tr>
        <w:tc>
          <w:tcPr>
            <w:tcW w:type="dxa" w:w="4702"/>
            <w:tcMar>
              <w:top w:w="0" w:type="dxa"/>
              <w:start w:w="20" w:type="dxa"/>
              <w:bottom w:w="0" w:type="dxa"/>
              <w:end w:w="20" w:type="dxa"/>
            </w:tcMar>
            <w:tcBorders>
              <w:top w:val="nil"/>
              <w:left w:val="nil"/>
              <w:bottom w:val="nil"/>
              <w:right w:val="nil"/>
            </w:tcBorders>
          </w:tcPr>
          <w:p/>
        </w:tc>
        <w:tc>
          <w:tcPr>
            <w:tcW w:type="dxa" w:w="4702"/>
            <w:tcMar>
              <w:top w:w="0" w:type="dxa"/>
              <w:start w:w="20" w:type="dxa"/>
              <w:bottom w:w="0" w:type="dxa"/>
              <w:end w:w="20" w:type="dxa"/>
            </w:tcMar>
            <w:tcBorders>
              <w:top w:val="nil"/>
              <w:left w:val="nil"/>
              <w:bottom w:val="nil"/>
              <w:right w:val="nil"/>
            </w:tcBorders>
          </w:tcPr>
          <w:p>
            <w:pPr>
              <w:jc w:val="center"/>
            </w:pPr>
            <w:r>
              <w:rPr>
                <w:rFonts w:ascii="Times New Roman" w:hAnsi="Times New Roman" w:eastAsia="Times New Roman"/>
                <w:b/>
                <w:i w:val="0"/>
                <w:sz w:val="26"/>
              </w:rPr>
              <w:t>HIỆU TRƯỞNG/GIÁM ĐỐC</w:t>
            </w:r>
          </w:p>
          <w:p>
            <w:pPr>
              <w:jc w:val="center"/>
            </w:pPr>
            <w:r>
              <w:rPr>
                <w:rFonts w:ascii="Times New Roman" w:hAnsi="Times New Roman" w:eastAsia="Times New Roman"/>
                <w:b w:val="0"/>
                <w:i/>
                <w:sz w:val="24"/>
              </w:rPr>
              <w:t>(Ký, ghi rõ họ tên và đóng dấu)</w:t>
            </w:r>
          </w:p>
          <w:p/>
          <w:p/>
          <w:p/>
          <w:p/>
          <w:p>
            <w:pPr>
              <w:jc w:val="center"/>
            </w:pPr>
            <w:r>
              <w:rPr>
                <w:rFonts w:ascii="Times New Roman" w:hAnsi="Times New Roman" w:eastAsia="Times New Roman"/>
                <w:b/>
                <w:i w:val="0"/>
                <w:sz w:val="26"/>
              </w:rPr>
              <w:t>[Họ và tên]</w:t>
            </w:r>
          </w:p>
        </w:tc>
      </w:tr>
    </w:tbl>
    <w:sectPr w:rsidR="00FC693F" w:rsidRPr="0006063C" w:rsidSect="00034616">
      <w:footerReference w:type="default" r:id="rId9"/>
      <w:pgSz w:w="12240" w:h="15840"/>
      <w:pgMar w:top="1134" w:right="1134" w:bottom="1134" w:left="1701"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Quy chế hoạt động của Tổ Kỹ thuật</dc:title>
  <dc:subject>Quy chế hoạt động Tổ Kỹ thuật</dc:subject>
  <dc:creator/>
  <cp:keywords/>
  <dc:description>Bản dự thảo hoàn chỉnh theo nội dung nguồn do người dùng cung cấp.</dc:description>
  <cp:lastModifiedBy/>
  <cp:revision>1</cp:revision>
  <dcterms:created xsi:type="dcterms:W3CDTF">2013-12-23T23:15:00Z</dcterms:created>
  <dcterms:modified xsi:type="dcterms:W3CDTF">2013-12-23T23:15:00Z</dcterms:modified>
  <cp:category/>
</cp:coreProperties>
</file>