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92B4" w14:textId="77777777" w:rsidR="00AD10AE" w:rsidRDefault="00000000">
      <w:pPr>
        <w:pStyle w:val="Ttulo"/>
      </w:pPr>
      <w:r>
        <w:t>Generación y Gobierno de Analítica Basada en Intención, Código y Consentimiento</w:t>
      </w:r>
    </w:p>
    <w:p w14:paraId="471DFD01" w14:textId="77777777" w:rsidR="00D97227" w:rsidRDefault="00000000">
      <w:r>
        <w:t xml:space="preserve">Esta plataforma convierte la analítica en una capacidad de producto gobernada, verificable y alineada con el negocio. A partir de documentación funcional, repositorios de código y reglas de consentimiento, el sistema genera analítica consistente y auditable desde su diseño. </w:t>
      </w:r>
    </w:p>
    <w:p w14:paraId="17BB1D3E" w14:textId="77777777" w:rsidR="00D97227" w:rsidRDefault="00000000">
      <w:r>
        <w:t xml:space="preserve">El </w:t>
      </w:r>
      <w:proofErr w:type="spellStart"/>
      <w:r>
        <w:t>producto</w:t>
      </w:r>
      <w:proofErr w:type="spellEnd"/>
      <w:r>
        <w:t xml:space="preserve"> se </w:t>
      </w:r>
      <w:proofErr w:type="spellStart"/>
      <w:r>
        <w:t>articula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14:paraId="1EEE5E3A" w14:textId="1A11D0C5" w:rsidR="00D97227" w:rsidRDefault="00000000">
      <w:r>
        <w:t xml:space="preserve"> (1) comprensión de la </w:t>
      </w:r>
      <w:proofErr w:type="spellStart"/>
      <w:r>
        <w:t>intención</w:t>
      </w:r>
      <w:proofErr w:type="spellEnd"/>
      <w:r>
        <w:t xml:space="preserve"> de </w:t>
      </w:r>
      <w:proofErr w:type="spellStart"/>
      <w:r w:rsidR="00D97227">
        <w:t>producto</w:t>
      </w:r>
      <w:proofErr w:type="spellEnd"/>
      <w:r w:rsidR="00D97227">
        <w:t>.</w:t>
      </w:r>
    </w:p>
    <w:p w14:paraId="209E5471" w14:textId="2A1EF3C2" w:rsidR="00D97227" w:rsidRDefault="00000000">
      <w:r>
        <w:t xml:space="preserve"> (2) alineación con la </w:t>
      </w:r>
      <w:proofErr w:type="spellStart"/>
      <w:r>
        <w:t>ejecución</w:t>
      </w:r>
      <w:proofErr w:type="spellEnd"/>
      <w:r>
        <w:t xml:space="preserve"> </w:t>
      </w:r>
      <w:r w:rsidR="00D97227">
        <w:t>real.</w:t>
      </w:r>
      <w:r>
        <w:t xml:space="preserve"> </w:t>
      </w:r>
    </w:p>
    <w:p w14:paraId="09E85C54" w14:textId="77777777" w:rsidR="00D97227" w:rsidRDefault="00000000">
      <w:r>
        <w:t xml:space="preserve"> (3) gobierno y cumplimiento integrados mediante consentimiento como regla estructural. </w:t>
      </w:r>
    </w:p>
    <w:p w14:paraId="789ACAF2" w14:textId="751A3822" w:rsidR="00AD10AE" w:rsidRDefault="00000000">
      <w:r>
        <w:t xml:space="preserve">El </w:t>
      </w:r>
      <w:proofErr w:type="spellStart"/>
      <w:r>
        <w:t>resultado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verdad única compartida entre producto, ingeniería y datos.</w:t>
      </w:r>
    </w:p>
    <w:p w14:paraId="3DE536C3" w14:textId="6EEF52F3" w:rsidR="00AD10AE" w:rsidRDefault="00000000" w:rsidP="00D97227">
      <w:r>
        <w:br w:type="page"/>
      </w:r>
    </w:p>
    <w:p w14:paraId="1D72B39A" w14:textId="77777777" w:rsidR="00AD10AE" w:rsidRDefault="00000000">
      <w:pPr>
        <w:pStyle w:val="Ttulo1"/>
      </w:pPr>
      <w:r>
        <w:lastRenderedPageBreak/>
        <w:t>Fase 1 – Análisis de Documentación Funcional (Modelo de Intención)</w:t>
      </w:r>
    </w:p>
    <w:p w14:paraId="5460EFD7" w14:textId="77777777" w:rsidR="00AD10AE" w:rsidRDefault="00000000">
      <w:r>
        <w:t>Clasificación del producto: CORE</w:t>
      </w:r>
    </w:p>
    <w:p w14:paraId="25DDDD3B" w14:textId="77777777" w:rsidR="00AD10AE" w:rsidRDefault="00000000">
      <w:r>
        <w:t>La documentación funcional se transforma en un Modelo de Intención formal compuesto por entidades de negocio, flujos, estados y criterios de éxito y error.</w:t>
      </w:r>
    </w:p>
    <w:p w14:paraId="4B7CD6E8" w14:textId="77777777" w:rsidR="00AD10AE" w:rsidRDefault="00000000">
      <w:r>
        <w:t>Uso de LLM: Sí (obligatorio)</w:t>
      </w:r>
    </w:p>
    <w:p w14:paraId="0F4D5E26" w14:textId="77777777" w:rsidR="00AD10AE" w:rsidRDefault="00000000">
      <w:r>
        <w:t>Justificación: La documentación está escrita en lenguaje natural y contiene ambigüedad semántica que requiere interpretación contextual.</w:t>
      </w:r>
    </w:p>
    <w:p w14:paraId="26217F72" w14:textId="77777777" w:rsidR="00AD10AE" w:rsidRDefault="00000000">
      <w:r>
        <w:t>Observaciones y posibles puntos de fricción:</w:t>
      </w:r>
    </w:p>
    <w:p w14:paraId="6E22EF42" w14:textId="77777777" w:rsidR="00AD10AE" w:rsidRDefault="00000000">
      <w:r>
        <w:t>- Dependencia de la calidad y actualidad de la documentación.</w:t>
      </w:r>
    </w:p>
    <w:p w14:paraId="4D41B5AE" w14:textId="77777777" w:rsidR="00AD10AE" w:rsidRDefault="00000000">
      <w:r>
        <w:t>- Terminología inconsistente entre equipos o productos.</w:t>
      </w:r>
    </w:p>
    <w:p w14:paraId="6CE3B40B" w14:textId="77777777" w:rsidR="00AD10AE" w:rsidRDefault="00000000">
      <w:r>
        <w:t>Estrategias de mitigación y mejora:</w:t>
      </w:r>
    </w:p>
    <w:p w14:paraId="767EF00C" w14:textId="77777777" w:rsidR="00AD10AE" w:rsidRDefault="00000000">
      <w:r>
        <w:t>- Soporte de múltiples fuentes (PRDs, tickets, tests, commits).</w:t>
      </w:r>
    </w:p>
    <w:p w14:paraId="7ECBE57B" w14:textId="77777777" w:rsidR="00AD10AE" w:rsidRDefault="00000000">
      <w:r>
        <w:t>- Normalización terminológica y detección de ambigüedades mediante LLM como asistente.</w:t>
      </w:r>
    </w:p>
    <w:p w14:paraId="6F2F99E4" w14:textId="77777777" w:rsidR="00AD10AE" w:rsidRDefault="00000000">
      <w:r>
        <w:rPr>
          <w:rFonts w:ascii="Courier New" w:hAnsi="Courier New"/>
          <w:sz w:val="20"/>
        </w:rPr>
        <w:t>Ejemplo:</w:t>
      </w:r>
      <w:r>
        <w:rPr>
          <w:rFonts w:ascii="Courier New" w:hAnsi="Courier New"/>
          <w:sz w:val="20"/>
        </w:rPr>
        <w:br/>
        <w:t>Entidad: Order</w:t>
      </w:r>
      <w:r>
        <w:rPr>
          <w:rFonts w:ascii="Courier New" w:hAnsi="Courier New"/>
          <w:sz w:val="20"/>
        </w:rPr>
        <w:br/>
        <w:t>Flujo: Checkout</w:t>
      </w:r>
      <w:r>
        <w:rPr>
          <w:rFonts w:ascii="Courier New" w:hAnsi="Courier New"/>
          <w:sz w:val="20"/>
        </w:rPr>
        <w:br/>
        <w:t>Éxito: Pago autorizado y orden persistida</w:t>
      </w:r>
    </w:p>
    <w:p w14:paraId="102FA390" w14:textId="77777777" w:rsidR="00AD10AE" w:rsidRDefault="00000000">
      <w:pPr>
        <w:pStyle w:val="Ttulo1"/>
      </w:pPr>
      <w:r>
        <w:t>Fase 2 – Análisis del Repositorio de Código (Modelo de Ejecución)</w:t>
      </w:r>
    </w:p>
    <w:p w14:paraId="0EA275CD" w14:textId="77777777" w:rsidR="00AD10AE" w:rsidRDefault="00000000">
      <w:r>
        <w:t>Clasificación del producto: CORE</w:t>
      </w:r>
    </w:p>
    <w:p w14:paraId="098DEC94" w14:textId="77777777" w:rsidR="00AD10AE" w:rsidRDefault="00000000">
      <w:r>
        <w:t>El código fuente se analiza de forma determinista para identificar flujos reales de ejecución, rutas y llamadas a APIs.</w:t>
      </w:r>
    </w:p>
    <w:p w14:paraId="24B99899" w14:textId="77777777" w:rsidR="00AD10AE" w:rsidRDefault="00000000">
      <w:r>
        <w:t>Uso de LLM: No</w:t>
      </w:r>
    </w:p>
    <w:p w14:paraId="7F1FED36" w14:textId="77777777" w:rsidR="00AD10AE" w:rsidRDefault="00000000">
      <w:r>
        <w:t>Justificación: El código es una estructura formal y no ambigua que puede analizarse con AST y reglas reproducibles.</w:t>
      </w:r>
    </w:p>
    <w:p w14:paraId="06DC2356" w14:textId="77777777" w:rsidR="00AD10AE" w:rsidRDefault="00000000">
      <w:r>
        <w:t>Observaciones y posibles puntos de fricción:</w:t>
      </w:r>
    </w:p>
    <w:p w14:paraId="46445150" w14:textId="77777777" w:rsidR="00AD10AE" w:rsidRDefault="00000000">
      <w:r>
        <w:t>- Complejidad en proyectos legacy o muy personalizados.</w:t>
      </w:r>
    </w:p>
    <w:p w14:paraId="45F0574F" w14:textId="77777777" w:rsidR="00AD10AE" w:rsidRDefault="00000000">
      <w:r>
        <w:t>- Multiplicidad de frameworks o estilos de arquitectura.</w:t>
      </w:r>
    </w:p>
    <w:p w14:paraId="30524518" w14:textId="77777777" w:rsidR="00AD10AE" w:rsidRDefault="00000000">
      <w:r>
        <w:t>Estrategias de mitigación y mejora:</w:t>
      </w:r>
    </w:p>
    <w:p w14:paraId="5F3189ED" w14:textId="77777777" w:rsidR="00AD10AE" w:rsidRDefault="00000000">
      <w:r>
        <w:t>- Arquitectura de adaptadores por framework.</w:t>
      </w:r>
    </w:p>
    <w:p w14:paraId="0A852BA2" w14:textId="77777777" w:rsidR="00AD10AE" w:rsidRDefault="00000000">
      <w:r>
        <w:lastRenderedPageBreak/>
        <w:t>- Uso opcional de LLM para explicación semántica de flujos complejos sin afectar la extracción.</w:t>
      </w:r>
    </w:p>
    <w:p w14:paraId="31E793DC" w14:textId="77777777" w:rsidR="00AD10AE" w:rsidRDefault="00000000">
      <w:pPr>
        <w:pStyle w:val="Ttulo1"/>
      </w:pPr>
      <w:r>
        <w:t>Fase 3 – Reconciliación entre Intención y Ejecución</w:t>
      </w:r>
    </w:p>
    <w:p w14:paraId="1C2026A1" w14:textId="77777777" w:rsidR="00AD10AE" w:rsidRDefault="00000000">
      <w:r>
        <w:t>Clasificación del producto: CORE</w:t>
      </w:r>
    </w:p>
    <w:p w14:paraId="1876C1D0" w14:textId="77777777" w:rsidR="00AD10AE" w:rsidRDefault="00000000">
      <w:r>
        <w:t>Se alinean el Modelo de Intención y el Modelo de Ejecución para validar trazabilidad entre negocio y código.</w:t>
      </w:r>
    </w:p>
    <w:p w14:paraId="1EF5FB71" w14:textId="77777777" w:rsidR="00AD10AE" w:rsidRDefault="00000000">
      <w:r>
        <w:t>Uso de LLM: Parcial</w:t>
      </w:r>
    </w:p>
    <w:p w14:paraId="5DBBDE56" w14:textId="77777777" w:rsidR="00AD10AE" w:rsidRDefault="00000000">
      <w:r>
        <w:t>Justificación: La comparación requiere similitud semántica entre conceptos de negocio y estructuras técnicas.</w:t>
      </w:r>
    </w:p>
    <w:p w14:paraId="0B4D839B" w14:textId="77777777" w:rsidR="00AD10AE" w:rsidRDefault="00000000">
      <w:r>
        <w:t>Observaciones y posibles puntos de fricción:</w:t>
      </w:r>
    </w:p>
    <w:p w14:paraId="37BE762D" w14:textId="77777777" w:rsidR="00AD10AE" w:rsidRDefault="00000000">
      <w:r>
        <w:t>- Desfase entre intención documentada y comportamiento real.</w:t>
      </w:r>
    </w:p>
    <w:p w14:paraId="20C85DEA" w14:textId="77777777" w:rsidR="00AD10AE" w:rsidRDefault="00000000">
      <w:r>
        <w:t>- Falsos positivos o ambigüedad en correspondencias.</w:t>
      </w:r>
    </w:p>
    <w:p w14:paraId="41C78B03" w14:textId="77777777" w:rsidR="00AD10AE" w:rsidRDefault="00000000">
      <w:r>
        <w:t>Estrategias de mitigación y mejora:</w:t>
      </w:r>
    </w:p>
    <w:p w14:paraId="1F2CC3FD" w14:textId="77777777" w:rsidR="00AD10AE" w:rsidRDefault="00000000">
      <w:r>
        <w:t>- Clasificación por nivel de confianza.</w:t>
      </w:r>
    </w:p>
    <w:p w14:paraId="136788D8" w14:textId="77777777" w:rsidR="00AD10AE" w:rsidRDefault="00000000">
      <w:r>
        <w:t>- Confirmación humana en casos ambiguos.</w:t>
      </w:r>
    </w:p>
    <w:p w14:paraId="05F98856" w14:textId="77777777" w:rsidR="00AD10AE" w:rsidRDefault="00000000">
      <w:pPr>
        <w:pStyle w:val="Ttulo1"/>
      </w:pPr>
      <w:r>
        <w:t>Fase 4 – Generación de Especificación Analítica Gobernada</w:t>
      </w:r>
    </w:p>
    <w:p w14:paraId="50EFF1C1" w14:textId="77777777" w:rsidR="00AD10AE" w:rsidRDefault="00000000">
      <w:r>
        <w:t>Clasificación del producto: CORE</w:t>
      </w:r>
    </w:p>
    <w:p w14:paraId="201A60E4" w14:textId="77777777" w:rsidR="00AD10AE" w:rsidRDefault="00000000">
      <w:r>
        <w:t>Se genera una especificación formal que define eventos, condiciones técnicas, propiedades y reglas de consentimiento.</w:t>
      </w:r>
    </w:p>
    <w:p w14:paraId="2F03D442" w14:textId="77777777" w:rsidR="00AD10AE" w:rsidRDefault="00000000">
      <w:r>
        <w:t>Uso de LLM: No</w:t>
      </w:r>
    </w:p>
    <w:p w14:paraId="40F2C21E" w14:textId="77777777" w:rsidR="00AD10AE" w:rsidRDefault="00000000">
      <w:r>
        <w:t>Justificación: Se trata de una serialización directa de modelos ya validados, que debe ser exacta y reproducible.</w:t>
      </w:r>
    </w:p>
    <w:p w14:paraId="3C0DC015" w14:textId="77777777" w:rsidR="00AD10AE" w:rsidRDefault="00000000">
      <w:r>
        <w:t>Observaciones y posibles puntos de fricción:</w:t>
      </w:r>
    </w:p>
    <w:p w14:paraId="768EAE88" w14:textId="77777777" w:rsidR="00AD10AE" w:rsidRDefault="00000000">
      <w:r>
        <w:t>- Percepción inicial de sobrecarga documental.</w:t>
      </w:r>
    </w:p>
    <w:p w14:paraId="5ACA8D7E" w14:textId="77777777" w:rsidR="00AD10AE" w:rsidRDefault="00000000">
      <w:r>
        <w:t>- Necesidad de adopción por parte de múltiples perfiles.</w:t>
      </w:r>
    </w:p>
    <w:p w14:paraId="27A2FECE" w14:textId="77777777" w:rsidR="00AD10AE" w:rsidRDefault="00000000">
      <w:r>
        <w:t>Estrategias de mitigación y mejora:</w:t>
      </w:r>
    </w:p>
    <w:p w14:paraId="3315EB1F" w14:textId="77777777" w:rsidR="00AD10AE" w:rsidRDefault="00000000">
      <w:r>
        <w:t>- Formatos legibles y versionables.</w:t>
      </w:r>
    </w:p>
    <w:p w14:paraId="6AE9C645" w14:textId="77777777" w:rsidR="00AD10AE" w:rsidRDefault="00000000">
      <w:r>
        <w:lastRenderedPageBreak/>
        <w:t>- Visualización de valor directo (qué eventos existen y por qué).</w:t>
      </w:r>
    </w:p>
    <w:p w14:paraId="2568463F" w14:textId="77777777" w:rsidR="00AD10AE" w:rsidRDefault="00000000">
      <w:r>
        <w:rPr>
          <w:rFonts w:ascii="Courier New" w:hAnsi="Courier New"/>
          <w:sz w:val="20"/>
        </w:rPr>
        <w:t>Ejemplo:</w:t>
      </w:r>
      <w:r>
        <w:rPr>
          <w:rFonts w:ascii="Courier New" w:hAnsi="Courier New"/>
          <w:sz w:val="20"/>
        </w:rPr>
        <w:br/>
        <w:t>Evento: order_completed</w:t>
      </w:r>
      <w:r>
        <w:rPr>
          <w:rFonts w:ascii="Courier New" w:hAnsi="Courier New"/>
          <w:sz w:val="20"/>
        </w:rPr>
        <w:br/>
        <w:t>Condición: POST /orders -&gt; 201</w:t>
      </w:r>
    </w:p>
    <w:p w14:paraId="2C5B980F" w14:textId="77777777" w:rsidR="00AD10AE" w:rsidRDefault="00000000">
      <w:pPr>
        <w:pStyle w:val="Ttulo1"/>
      </w:pPr>
      <w:r>
        <w:t>Fase 5 – Revisión y Aprobación Humana</w:t>
      </w:r>
    </w:p>
    <w:p w14:paraId="50E541A1" w14:textId="77777777" w:rsidR="00AD10AE" w:rsidRDefault="00000000">
      <w:r>
        <w:t>Clasificación del producto: CORE</w:t>
      </w:r>
    </w:p>
    <w:p w14:paraId="06139096" w14:textId="77777777" w:rsidR="00AD10AE" w:rsidRDefault="00000000">
      <w:r>
        <w:t>La especificación se revisa manualmente como punto de control formal previo a implementación.</w:t>
      </w:r>
    </w:p>
    <w:p w14:paraId="379E8ED4" w14:textId="77777777" w:rsidR="00AD10AE" w:rsidRDefault="00000000">
      <w:r>
        <w:t>Uso de LLM: No</w:t>
      </w:r>
    </w:p>
    <w:p w14:paraId="58DA27AB" w14:textId="77777777" w:rsidR="00AD10AE" w:rsidRDefault="00000000">
      <w:r>
        <w:t>Justificación: La decisión debe ser humana para garantizar responsabilidad legal y de negocio.</w:t>
      </w:r>
    </w:p>
    <w:p w14:paraId="44309DFE" w14:textId="77777777" w:rsidR="00AD10AE" w:rsidRDefault="00000000">
      <w:r>
        <w:t>Observaciones y posibles puntos de fricción:</w:t>
      </w:r>
    </w:p>
    <w:p w14:paraId="1829EF12" w14:textId="77777777" w:rsidR="00AD10AE" w:rsidRDefault="00000000">
      <w:r>
        <w:t>- Posible cuello de botella en organizaciones grandes.</w:t>
      </w:r>
    </w:p>
    <w:p w14:paraId="1BC53831" w14:textId="77777777" w:rsidR="00AD10AE" w:rsidRDefault="00000000">
      <w:r>
        <w:t>Estrategias de mitigación y mejora:</w:t>
      </w:r>
    </w:p>
    <w:p w14:paraId="7809818B" w14:textId="77777777" w:rsidR="00AD10AE" w:rsidRDefault="00000000">
      <w:r>
        <w:t>- Aprobaciones parciales por dominio.</w:t>
      </w:r>
    </w:p>
    <w:p w14:paraId="1FBBB838" w14:textId="77777777" w:rsidR="00AD10AE" w:rsidRDefault="00000000">
      <w:r>
        <w:t>- Reglas de auto-aprobación para cambios de bajo riesgo.</w:t>
      </w:r>
    </w:p>
    <w:p w14:paraId="7F970698" w14:textId="77777777" w:rsidR="00AD10AE" w:rsidRDefault="00000000">
      <w:pPr>
        <w:pStyle w:val="Ttulo1"/>
      </w:pPr>
      <w:r>
        <w:t>Fase 6 – Generación del Contrato de API Analítica</w:t>
      </w:r>
    </w:p>
    <w:p w14:paraId="5FE4F5A5" w14:textId="77777777" w:rsidR="00AD10AE" w:rsidRDefault="00000000">
      <w:r>
        <w:t>Clasificación del producto: CORE</w:t>
      </w:r>
    </w:p>
    <w:p w14:paraId="6DB0A1AA" w14:textId="77777777" w:rsidR="00AD10AE" w:rsidRDefault="00000000">
      <w:r>
        <w:t>Se genera un contrato de API formal que define el envío de eventos analíticos.</w:t>
      </w:r>
    </w:p>
    <w:p w14:paraId="2C36F816" w14:textId="77777777" w:rsidR="00AD10AE" w:rsidRDefault="00000000">
      <w:r>
        <w:t>Uso de LLM: No</w:t>
      </w:r>
    </w:p>
    <w:p w14:paraId="53D82B40" w14:textId="77777777" w:rsidR="00AD10AE" w:rsidRDefault="00000000">
      <w:r>
        <w:t>Justificación: Los contratos requieren versionado y compatibilidad estricta, lo que exige generación determinista.</w:t>
      </w:r>
    </w:p>
    <w:p w14:paraId="27000620" w14:textId="77777777" w:rsidR="00AD10AE" w:rsidRDefault="00000000">
      <w:r>
        <w:t>Observaciones y posibles puntos de fricción:</w:t>
      </w:r>
    </w:p>
    <w:p w14:paraId="46F7C53A" w14:textId="77777777" w:rsidR="00AD10AE" w:rsidRDefault="00000000">
      <w:r>
        <w:t>- Diferencias de estándares entre equipos backend.</w:t>
      </w:r>
    </w:p>
    <w:p w14:paraId="2A56267A" w14:textId="77777777" w:rsidR="00AD10AE" w:rsidRDefault="00000000">
      <w:r>
        <w:t>Estrategias de mitigación y mejora:</w:t>
      </w:r>
    </w:p>
    <w:p w14:paraId="460ED915" w14:textId="77777777" w:rsidR="00AD10AE" w:rsidRDefault="00000000">
      <w:r>
        <w:t>- Plantillas configurables y presets por arquitectura.</w:t>
      </w:r>
    </w:p>
    <w:p w14:paraId="42AACE66" w14:textId="77777777" w:rsidR="00AD10AE" w:rsidRDefault="00000000">
      <w:pPr>
        <w:pStyle w:val="Ttulo1"/>
      </w:pPr>
      <w:r>
        <w:lastRenderedPageBreak/>
        <w:t>Fase 7 – Generación del Modelo de Datos Analítico</w:t>
      </w:r>
    </w:p>
    <w:p w14:paraId="2DBCFBBE" w14:textId="77777777" w:rsidR="00AD10AE" w:rsidRDefault="00000000">
      <w:r>
        <w:t>Clasificación del producto: CORE</w:t>
      </w:r>
    </w:p>
    <w:p w14:paraId="461275F3" w14:textId="77777777" w:rsidR="00AD10AE" w:rsidRDefault="00000000">
      <w:r>
        <w:t>Se define el modelo de datos con políticas claras de persistencia condicionadas por consentimiento.</w:t>
      </w:r>
    </w:p>
    <w:p w14:paraId="4D43C185" w14:textId="77777777" w:rsidR="00AD10AE" w:rsidRDefault="00000000">
      <w:r>
        <w:t>Uso de LLM: No</w:t>
      </w:r>
    </w:p>
    <w:p w14:paraId="3B63E7C7" w14:textId="77777777" w:rsidR="00AD10AE" w:rsidRDefault="00000000">
      <w:r>
        <w:t>Justificación: El modelo de datos es un contrato técnico y legal que debe ser exacto y estable.</w:t>
      </w:r>
    </w:p>
    <w:p w14:paraId="02BF9CAE" w14:textId="77777777" w:rsidR="00AD10AE" w:rsidRDefault="00000000">
      <w:r>
        <w:t>Observaciones y posibles puntos de fricción:</w:t>
      </w:r>
    </w:p>
    <w:p w14:paraId="0BEA7B75" w14:textId="77777777" w:rsidR="00AD10AE" w:rsidRDefault="00000000">
      <w:r>
        <w:t>- Adopción en entornos de datos heterogéneos.</w:t>
      </w:r>
    </w:p>
    <w:p w14:paraId="3D8EEC7B" w14:textId="77777777" w:rsidR="00AD10AE" w:rsidRDefault="00000000">
      <w:r>
        <w:t>Estrategias de mitigación y mejora:</w:t>
      </w:r>
    </w:p>
    <w:p w14:paraId="2F130544" w14:textId="77777777" w:rsidR="00AD10AE" w:rsidRDefault="00000000">
      <w:r>
        <w:t>- Soporte para múltiples warehouses y esquemas incrementales.</w:t>
      </w:r>
    </w:p>
    <w:p w14:paraId="07BDBD0D" w14:textId="77777777" w:rsidR="00AD10AE" w:rsidRDefault="00000000">
      <w:pPr>
        <w:pStyle w:val="Ttulo1"/>
      </w:pPr>
      <w:r>
        <w:t>Fase 8 – Implementación de la Instrumentación Condicionada</w:t>
      </w:r>
    </w:p>
    <w:p w14:paraId="150A49CE" w14:textId="77777777" w:rsidR="00AD10AE" w:rsidRDefault="00000000">
      <w:r>
        <w:t>Clasificación del producto: CORE</w:t>
      </w:r>
    </w:p>
    <w:p w14:paraId="46BE3283" w14:textId="77777777" w:rsidR="00AD10AE" w:rsidRDefault="00000000">
      <w:r>
        <w:t>Se inserta automáticamente la instrumentación analítica en puntos de ejecución verificados.</w:t>
      </w:r>
    </w:p>
    <w:p w14:paraId="09A49ACB" w14:textId="77777777" w:rsidR="00AD10AE" w:rsidRDefault="00000000">
      <w:r>
        <w:t>Uso de LLM: No</w:t>
      </w:r>
    </w:p>
    <w:p w14:paraId="0AD31100" w14:textId="77777777" w:rsidR="00AD10AE" w:rsidRDefault="00000000">
      <w:r>
        <w:t>Justificación: La modificación de código productivo requiere transformaciones deterministas e idempotentes.</w:t>
      </w:r>
    </w:p>
    <w:p w14:paraId="5E3FE9C4" w14:textId="77777777" w:rsidR="00AD10AE" w:rsidRDefault="00000000">
      <w:r>
        <w:t>Observaciones y posibles puntos de fricción:</w:t>
      </w:r>
    </w:p>
    <w:p w14:paraId="54F7E9F4" w14:textId="77777777" w:rsidR="00AD10AE" w:rsidRDefault="00000000">
      <w:r>
        <w:t>- Patrones de código no estándar.</w:t>
      </w:r>
    </w:p>
    <w:p w14:paraId="45D7291B" w14:textId="77777777" w:rsidR="00AD10AE" w:rsidRDefault="00000000">
      <w:r>
        <w:t>- Resistencia al cambio automático de código.</w:t>
      </w:r>
    </w:p>
    <w:p w14:paraId="6A50C720" w14:textId="77777777" w:rsidR="00AD10AE" w:rsidRDefault="00000000">
      <w:r>
        <w:t>Estrategias de mitigación y mejora:</w:t>
      </w:r>
    </w:p>
    <w:p w14:paraId="37F3FA0E" w14:textId="77777777" w:rsidR="00AD10AE" w:rsidRDefault="00000000">
      <w:r>
        <w:t>- Code mods basados en AST.</w:t>
      </w:r>
    </w:p>
    <w:p w14:paraId="25CCC65A" w14:textId="77777777" w:rsidR="00AD10AE" w:rsidRDefault="00000000">
      <w:r>
        <w:t>- Modo dry-run y PRs automáticos revisables.</w:t>
      </w:r>
    </w:p>
    <w:p w14:paraId="3BE22750" w14:textId="77777777" w:rsidR="00AD10AE" w:rsidRDefault="00000000">
      <w:pPr>
        <w:pStyle w:val="Ttulo1"/>
      </w:pPr>
      <w:r>
        <w:t>Fase 9 – Validación de Cumplimiento y Consistencia</w:t>
      </w:r>
    </w:p>
    <w:p w14:paraId="6E0AFFE0" w14:textId="77777777" w:rsidR="00AD10AE" w:rsidRDefault="00000000">
      <w:r>
        <w:t>Clasificación del producto: CORE</w:t>
      </w:r>
    </w:p>
    <w:p w14:paraId="37073015" w14:textId="77777777" w:rsidR="00AD10AE" w:rsidRDefault="00000000">
      <w:r>
        <w:t>Se valida que la implementación cumple la especificación y reglas de consentimiento.</w:t>
      </w:r>
    </w:p>
    <w:p w14:paraId="29CC6B46" w14:textId="77777777" w:rsidR="00AD10AE" w:rsidRDefault="00000000">
      <w:r>
        <w:t>Uso de LLM: No</w:t>
      </w:r>
    </w:p>
    <w:p w14:paraId="223C2783" w14:textId="77777777" w:rsidR="00AD10AE" w:rsidRDefault="00000000">
      <w:r>
        <w:lastRenderedPageBreak/>
        <w:t>Justificación: La validación exige resultados exhaustivos, booleanos y reproducibles.</w:t>
      </w:r>
    </w:p>
    <w:p w14:paraId="78C48036" w14:textId="77777777" w:rsidR="00AD10AE" w:rsidRDefault="00000000">
      <w:r>
        <w:t>Observaciones y posibles puntos de fricción:</w:t>
      </w:r>
    </w:p>
    <w:p w14:paraId="25779D97" w14:textId="77777777" w:rsidR="00AD10AE" w:rsidRDefault="00000000">
      <w:r>
        <w:t>- Necesidad de confianza en los checks automáticos.</w:t>
      </w:r>
    </w:p>
    <w:p w14:paraId="78E57B00" w14:textId="77777777" w:rsidR="00AD10AE" w:rsidRDefault="00000000">
      <w:r>
        <w:t>Estrategias de mitigación y mejora:</w:t>
      </w:r>
    </w:p>
    <w:p w14:paraId="16ACA457" w14:textId="77777777" w:rsidR="00AD10AE" w:rsidRDefault="00000000">
      <w:r>
        <w:t>- Integración en CI y generación de evidencias auditables.</w:t>
      </w:r>
    </w:p>
    <w:p w14:paraId="78296276" w14:textId="77777777" w:rsidR="00AD10AE" w:rsidRDefault="00000000">
      <w:pPr>
        <w:pStyle w:val="Ttulo1"/>
      </w:pPr>
      <w:r>
        <w:t>Fase 10 – Operación Continua y Control de Deriva</w:t>
      </w:r>
    </w:p>
    <w:p w14:paraId="66B3464C" w14:textId="77777777" w:rsidR="00AD10AE" w:rsidRDefault="00000000">
      <w:r>
        <w:t>Clasificación del producto: PREMIUM</w:t>
      </w:r>
    </w:p>
    <w:p w14:paraId="069CAE26" w14:textId="77777777" w:rsidR="00AD10AE" w:rsidRDefault="00000000">
      <w:r>
        <w:t>Integración en flujos de CI para detectar desviaciones entre producto, código y analítica.</w:t>
      </w:r>
    </w:p>
    <w:p w14:paraId="43D1A7CB" w14:textId="77777777" w:rsidR="00AD10AE" w:rsidRDefault="00000000">
      <w:r>
        <w:t>Uso de LLM: Parcial</w:t>
      </w:r>
    </w:p>
    <w:p w14:paraId="5D1EF53B" w14:textId="77777777" w:rsidR="00AD10AE" w:rsidRDefault="00000000">
      <w:r>
        <w:t>Justificación: La detección de patrones y predicción de impacto se beneficia de capacidades inferenciales.</w:t>
      </w:r>
    </w:p>
    <w:p w14:paraId="07B2B426" w14:textId="77777777" w:rsidR="00AD10AE" w:rsidRDefault="00000000">
      <w:r>
        <w:t>Observaciones y posibles puntos de fricción:</w:t>
      </w:r>
    </w:p>
    <w:p w14:paraId="6DB5D5DE" w14:textId="77777777" w:rsidR="00AD10AE" w:rsidRDefault="00000000">
      <w:r>
        <w:t>- Sobrecarga percibida en equipos pequeños.</w:t>
      </w:r>
    </w:p>
    <w:p w14:paraId="73DA8B19" w14:textId="77777777" w:rsidR="00AD10AE" w:rsidRDefault="00000000">
      <w:r>
        <w:t>Estrategias de mitigación y mejora:</w:t>
      </w:r>
    </w:p>
    <w:p w14:paraId="22173C30" w14:textId="77777777" w:rsidR="00AD10AE" w:rsidRDefault="00000000">
      <w:r>
        <w:t>- Activación progresiva y recomendaciones priorizadas.</w:t>
      </w:r>
    </w:p>
    <w:p w14:paraId="706CCBE3" w14:textId="77777777" w:rsidR="00AD10AE" w:rsidRDefault="00000000">
      <w:r>
        <w:br w:type="page"/>
      </w:r>
    </w:p>
    <w:p w14:paraId="18D6A420" w14:textId="77777777" w:rsidR="00AD10AE" w:rsidRDefault="00000000">
      <w:pPr>
        <w:pStyle w:val="Ttulo1"/>
      </w:pPr>
      <w:r>
        <w:lastRenderedPageBreak/>
        <w:t>Comparativa con Soluciones del Mercado</w:t>
      </w:r>
    </w:p>
    <w:p w14:paraId="7D631F63" w14:textId="77777777" w:rsidR="00AD10AE" w:rsidRDefault="00000000">
      <w:r>
        <w:t>A continuación se describen las principales soluciones del mercado y su relación con el enfoque de esta plataforma.</w:t>
      </w:r>
    </w:p>
    <w:p w14:paraId="5EB808E8" w14:textId="77777777" w:rsidR="00AD10AE" w:rsidRDefault="00000000">
      <w:r>
        <w:t>PostHog: Destaca por autocapture y rapidez de uso, pero carece de alineación explícita con lógica de negocio y no genera implementación gobernada automáticamente.</w:t>
      </w:r>
    </w:p>
    <w:p w14:paraId="553A9481" w14:textId="77777777" w:rsidR="00AD10AE" w:rsidRDefault="00000000">
      <w:r>
        <w:t>Amplitude: Potente en análisis e insights, pero asume que la instrumentación ya existe y no aborda generación automática ni reconciliación intención-código.</w:t>
      </w:r>
    </w:p>
    <w:p w14:paraId="43600C1A" w14:textId="77777777" w:rsidR="00AD10AE" w:rsidRDefault="00000000">
      <w:r>
        <w:t>Segment (Twilio): Excelente como pipeline y CDP, aunque no define semántica de negocio ni genera código de instrumentación.</w:t>
      </w:r>
    </w:p>
    <w:p w14:paraId="56BD2938" w14:textId="77777777" w:rsidR="00AD10AE" w:rsidRDefault="00000000">
      <w:r>
        <w:t>Snowplow / OpenSnowcat: Ofrece control total del pipeline de eventos, pero requiere diseño manual de eventos y no reconcilia intención y ejecución.</w:t>
      </w:r>
    </w:p>
    <w:p w14:paraId="31E33923" w14:textId="77777777" w:rsidR="00AD10AE" w:rsidRDefault="00000000">
      <w:r>
        <w:t>OpenTelemetry: Estandariza la observabilidad y el transporte, pero no define eventos de negocio ni automatiza analítica de producto.</w:t>
      </w:r>
    </w:p>
    <w:sectPr w:rsidR="00AD10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104791">
    <w:abstractNumId w:val="8"/>
  </w:num>
  <w:num w:numId="2" w16cid:durableId="1678850456">
    <w:abstractNumId w:val="6"/>
  </w:num>
  <w:num w:numId="3" w16cid:durableId="989288723">
    <w:abstractNumId w:val="5"/>
  </w:num>
  <w:num w:numId="4" w16cid:durableId="925112661">
    <w:abstractNumId w:val="4"/>
  </w:num>
  <w:num w:numId="5" w16cid:durableId="1706129136">
    <w:abstractNumId w:val="7"/>
  </w:num>
  <w:num w:numId="6" w16cid:durableId="1964116964">
    <w:abstractNumId w:val="3"/>
  </w:num>
  <w:num w:numId="7" w16cid:durableId="382604121">
    <w:abstractNumId w:val="2"/>
  </w:num>
  <w:num w:numId="8" w16cid:durableId="540557122">
    <w:abstractNumId w:val="1"/>
  </w:num>
  <w:num w:numId="9" w16cid:durableId="90757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0AE"/>
    <w:rsid w:val="00B47730"/>
    <w:rsid w:val="00CB0664"/>
    <w:rsid w:val="00D97227"/>
    <w:rsid w:val="00E97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E6F14"/>
  <w14:defaultImageDpi w14:val="300"/>
  <w15:docId w15:val="{34CF09CA-2016-46D3-AAB4-03D64ABF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Verduin Cortés, David</dc:creator>
  <cp:keywords/>
  <dc:description>generated by python-docx</dc:description>
  <cp:lastModifiedBy>Verduin Cortés, David</cp:lastModifiedBy>
  <cp:revision>2</cp:revision>
  <dcterms:created xsi:type="dcterms:W3CDTF">2026-05-08T09:47:00Z</dcterms:created>
  <dcterms:modified xsi:type="dcterms:W3CDTF">2026-05-12T15:07:00Z</dcterms:modified>
  <cp:category/>
</cp:coreProperties>
</file>