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9C27" w14:textId="77777777" w:rsidR="0051111A" w:rsidRDefault="00000000">
      <w:pPr>
        <w:pStyle w:val="Ttulo"/>
      </w:pPr>
      <w:r>
        <w:t>Documento Técnico de Implementación</w:t>
      </w:r>
      <w:r>
        <w:br/>
        <w:t>Plataforma de Generación y Gobierno de Analítica Basada en Intención, Código y Consentimiento</w:t>
      </w:r>
    </w:p>
    <w:p w14:paraId="02DA619C" w14:textId="77777777" w:rsidR="0051111A" w:rsidRDefault="00000000">
      <w:pPr>
        <w:spacing w:after="160"/>
      </w:pPr>
      <w:r>
        <w:t>Este documento describe en detalle la implementación técnica completa de la plataforma de generación y gobierno de analítica. El objetivo es servir como referencia técnica única para el diseño, desarrollo, mantenimiento y evolución del sistema. El enfoque prioriza determinismo, auditabilidad, automatización segura y uso controlado de modelos de lenguaje (LLM).</w:t>
      </w:r>
    </w:p>
    <w:p w14:paraId="0348B658" w14:textId="73EDAA52" w:rsidR="0051111A" w:rsidRDefault="00000000" w:rsidP="00BB188F">
      <w:r>
        <w:br w:type="page"/>
      </w:r>
    </w:p>
    <w:p w14:paraId="1787FCCD" w14:textId="77777777" w:rsidR="0051111A" w:rsidRDefault="00000000">
      <w:pPr>
        <w:pStyle w:val="Ttulo1"/>
      </w:pPr>
      <w:r>
        <w:lastRenderedPageBreak/>
        <w:t>1. Visión General de la Arquitectura</w:t>
      </w:r>
    </w:p>
    <w:p w14:paraId="56FA0C1B" w14:textId="77777777" w:rsidR="0051111A" w:rsidRDefault="00000000">
      <w:pPr>
        <w:spacing w:after="160"/>
      </w:pPr>
      <w:r>
        <w:t>La plataforma se implementa como una aplicación de escritorio multiplataforma basada en Electron. Se separa estrictamente en dos procesos: un proceso principal (Node.js) responsable del motor analítico, y un proceso renderer (Angular 21) responsable de la interfaz gráfica. Esta separación garantiza seguridad, claridad de responsabilidades y facilidad de testing.</w:t>
      </w:r>
    </w:p>
    <w:p w14:paraId="51AF4B2A" w14:textId="77777777" w:rsidR="0051111A" w:rsidRDefault="00000000">
      <w:pPr>
        <w:pStyle w:val="Ttulo1"/>
      </w:pPr>
      <w:r>
        <w:t>2. Stack Tecnológico</w:t>
      </w:r>
    </w:p>
    <w:p w14:paraId="4CE35E8D" w14:textId="77777777" w:rsidR="0051111A" w:rsidRDefault="00000000">
      <w:pPr>
        <w:spacing w:after="160"/>
      </w:pPr>
      <w:r>
        <w:t>- Electron como runtime de escritorio.</w:t>
      </w:r>
    </w:p>
    <w:p w14:paraId="49AF2E53" w14:textId="77777777" w:rsidR="0051111A" w:rsidRDefault="00000000">
      <w:pPr>
        <w:spacing w:after="160"/>
      </w:pPr>
      <w:r>
        <w:t>- Node.js para lógica de dominio, análisis de código y filesystem.</w:t>
      </w:r>
    </w:p>
    <w:p w14:paraId="6090FD98" w14:textId="77777777" w:rsidR="0051111A" w:rsidRDefault="00000000">
      <w:pPr>
        <w:spacing w:after="160"/>
      </w:pPr>
      <w:r>
        <w:t>- Angular 21 para la interfaz de usuario.</w:t>
      </w:r>
    </w:p>
    <w:p w14:paraId="355D8916" w14:textId="77777777" w:rsidR="0051111A" w:rsidRDefault="00000000">
      <w:pPr>
        <w:spacing w:after="160"/>
      </w:pPr>
      <w:r>
        <w:t>- TypeScript como lenguaje único.</w:t>
      </w:r>
    </w:p>
    <w:p w14:paraId="6060D4CD" w14:textId="01FB95B1" w:rsidR="0051111A" w:rsidRDefault="00000000">
      <w:pPr>
        <w:spacing w:after="160"/>
      </w:pPr>
      <w:r>
        <w:t xml:space="preserve">- </w:t>
      </w:r>
      <w:r w:rsidR="00BB188F">
        <w:t>Signals</w:t>
      </w:r>
      <w:r>
        <w:t xml:space="preserve"> para gestión de estado reactivo.</w:t>
      </w:r>
    </w:p>
    <w:p w14:paraId="7DD0A512" w14:textId="77777777" w:rsidR="0051111A" w:rsidRDefault="00000000">
      <w:pPr>
        <w:spacing w:after="160"/>
      </w:pPr>
      <w:r>
        <w:t>- Playwright para testing end‑to‑end.</w:t>
      </w:r>
    </w:p>
    <w:p w14:paraId="48599342" w14:textId="77777777" w:rsidR="0051111A" w:rsidRDefault="00000000">
      <w:pPr>
        <w:pStyle w:val="Ttulo1"/>
      </w:pPr>
      <w:r>
        <w:t>3. Estructura del Repositorio</w:t>
      </w:r>
    </w:p>
    <w:p w14:paraId="2F731E39" w14:textId="77777777" w:rsidR="0051111A" w:rsidRDefault="00000000">
      <w:pPr>
        <w:spacing w:after="160"/>
      </w:pPr>
      <w:r>
        <w:t>El repositorio se organiza en dos dominios principales:</w:t>
      </w:r>
    </w:p>
    <w:p w14:paraId="6E5B42FA" w14:textId="77777777" w:rsidR="0051111A" w:rsidRDefault="00000000">
      <w:pPr>
        <w:spacing w:after="160"/>
      </w:pPr>
      <w:r>
        <w:t>electron/main/: motor analítico, filesystem, ejecución de fases.</w:t>
      </w:r>
    </w:p>
    <w:p w14:paraId="3E255B98" w14:textId="77777777" w:rsidR="0051111A" w:rsidRDefault="00000000">
      <w:pPr>
        <w:spacing w:after="160"/>
      </w:pPr>
      <w:r>
        <w:t>electron/preload/: puente IPC seguro.</w:t>
      </w:r>
    </w:p>
    <w:p w14:paraId="3A37A9EA" w14:textId="77777777" w:rsidR="0051111A" w:rsidRDefault="00000000">
      <w:pPr>
        <w:spacing w:after="160"/>
      </w:pPr>
      <w:r>
        <w:t>electron/renderer/: aplicación Angular 21.</w:t>
      </w:r>
    </w:p>
    <w:p w14:paraId="047E4BBB" w14:textId="77777777" w:rsidR="0051111A" w:rsidRDefault="00000000">
      <w:pPr>
        <w:spacing w:after="160"/>
      </w:pPr>
      <w:r>
        <w:t>angular/app/phases/: componentes de cada fase.</w:t>
      </w:r>
    </w:p>
    <w:p w14:paraId="7C2BF09D" w14:textId="77777777" w:rsidR="0051111A" w:rsidRDefault="00000000">
      <w:pPr>
        <w:spacing w:after="160"/>
      </w:pPr>
      <w:r>
        <w:t>angular/app/core/: servicios singleton.</w:t>
      </w:r>
    </w:p>
    <w:p w14:paraId="3CBAB344" w14:textId="77777777" w:rsidR="0051111A" w:rsidRDefault="00000000">
      <w:pPr>
        <w:spacing w:after="160"/>
      </w:pPr>
      <w:r>
        <w:t>angular/app/projects/: gestión de proyectos.</w:t>
      </w:r>
    </w:p>
    <w:p w14:paraId="617C17D6" w14:textId="77777777" w:rsidR="0051111A" w:rsidRDefault="00000000">
      <w:pPr>
        <w:pStyle w:val="Ttulo1"/>
      </w:pPr>
      <w:r>
        <w:t>4. Gestión de Proyectos</w:t>
      </w:r>
    </w:p>
    <w:p w14:paraId="70AB484D" w14:textId="77777777" w:rsidR="0051111A" w:rsidRDefault="00000000">
      <w:pPr>
        <w:spacing w:after="160"/>
      </w:pPr>
      <w:r>
        <w:t>Cada proyecto representa una unidad persistente de trabajo. Los proyectos se almacenan localmente en el sistema de archivos del usuario en formato versionable y legible (JSON + artefactos). Esta decisión permite auditoría, backup sencillo y operación offline.</w:t>
      </w:r>
    </w:p>
    <w:p w14:paraId="7601B0D3" w14:textId="77777777" w:rsidR="0051111A" w:rsidRDefault="00000000">
      <w:pPr>
        <w:pStyle w:val="Ttulo1"/>
      </w:pPr>
      <w:r>
        <w:t>5. Modelo de Fases</w:t>
      </w:r>
    </w:p>
    <w:p w14:paraId="39E97C6C" w14:textId="77777777" w:rsidR="0051111A" w:rsidRDefault="00000000">
      <w:pPr>
        <w:spacing w:after="160"/>
      </w:pPr>
      <w:r>
        <w:t>El producto se articula en fases secuenciales. Cada fase se describe mediante metadatos (Phase Descriptor) y se ejecuta de forma orquestada por el motor central. Angular únicamente representa la fase; nunca implementa lógica analítica.</w:t>
      </w:r>
    </w:p>
    <w:p w14:paraId="4D57191E" w14:textId="77777777" w:rsidR="0051111A" w:rsidRDefault="00000000">
      <w:pPr>
        <w:pStyle w:val="Ttulo1"/>
      </w:pPr>
      <w:r>
        <w:lastRenderedPageBreak/>
        <w:t>6. Orquestación y Flujo de Ejecución</w:t>
      </w:r>
    </w:p>
    <w:p w14:paraId="216B8498" w14:textId="77777777" w:rsidR="0051111A" w:rsidRDefault="00000000">
      <w:pPr>
        <w:spacing w:after="160"/>
      </w:pPr>
      <w:r>
        <w:t>El motor de fases coordina la ejecución secuencial. Cada fase recibe un contexto inmutable de proyecto, produce artefactos versionados y actualiza el estado. El sistema soporta re‑ejecución, dry‑run y recuperación ante errores.</w:t>
      </w:r>
    </w:p>
    <w:p w14:paraId="34CA75E3" w14:textId="77777777" w:rsidR="0051111A" w:rsidRDefault="00000000">
      <w:pPr>
        <w:pStyle w:val="Ttulo1"/>
      </w:pPr>
      <w:r>
        <w:t>7. Uso de Modelos de Lenguaje (LLM)</w:t>
      </w:r>
    </w:p>
    <w:p w14:paraId="561967EB" w14:textId="77777777" w:rsidR="0051111A" w:rsidRDefault="00000000">
      <w:pPr>
        <w:spacing w:after="160"/>
      </w:pPr>
      <w:r>
        <w:t>El uso de LLM se limita estrictamente a fases donde existe ambigüedad semántica. Nunca se utilizan LLM para modificar código productivo, generar contratos formales o validar cumplimiento. Cada fase declara explícitamente si el uso de LLM es obligatorio, opcional (POWER UP) o inexistente.</w:t>
      </w:r>
    </w:p>
    <w:p w14:paraId="27B49623" w14:textId="77777777" w:rsidR="0051111A" w:rsidRDefault="00000000">
      <w:pPr>
        <w:pStyle w:val="Ttulo1"/>
      </w:pPr>
      <w:r>
        <w:t>8. POWER UP: Potenciador de IA</w:t>
      </w:r>
    </w:p>
    <w:p w14:paraId="55F0888B" w14:textId="77777777" w:rsidR="0051111A" w:rsidRDefault="00000000">
      <w:pPr>
        <w:spacing w:after="160"/>
      </w:pPr>
      <w:r>
        <w:t>El POWER UP es un mecanismo optativo visible al usuario. Permite activar asistencia adicional basada en LLM sin afectar la capacidad determinista del sistema. Toda salida generada con POWER UP se marca explícitamente como asistida.</w:t>
      </w:r>
    </w:p>
    <w:p w14:paraId="07B30F72" w14:textId="77777777" w:rsidR="0051111A" w:rsidRDefault="00000000">
      <w:pPr>
        <w:pStyle w:val="Ttulo1"/>
      </w:pPr>
      <w:r>
        <w:t>9. Comunicación IPC Angular ↔ Electron</w:t>
      </w:r>
    </w:p>
    <w:p w14:paraId="7B643ECF" w14:textId="77777777" w:rsidR="0051111A" w:rsidRDefault="00000000">
      <w:pPr>
        <w:spacing w:after="160"/>
      </w:pPr>
      <w:r>
        <w:t>La comunicación entre Angular y Node se realiza exclusivamente mediante IPC tipado expuesto en preload. No se permite acceso directo a Node desde la UI. Esto garantiza aislamiento, seguridad y testabilidad.</w:t>
      </w:r>
    </w:p>
    <w:p w14:paraId="4FCA8675" w14:textId="77777777" w:rsidR="0051111A" w:rsidRDefault="00000000">
      <w:pPr>
        <w:pStyle w:val="Ttulo1"/>
      </w:pPr>
      <w:r>
        <w:t>10. Implementación Automática de Instrumentación</w:t>
      </w:r>
    </w:p>
    <w:p w14:paraId="279508B4" w14:textId="77777777" w:rsidR="0051111A" w:rsidRDefault="00000000">
      <w:pPr>
        <w:spacing w:after="160"/>
      </w:pPr>
      <w:r>
        <w:t>La instrumentación analítica se implementa mediante transformaciones deterministas sobre AST. El sistema genera modificaciones reproducibles, idempotentes y revisables mediante PRs automáticas o modo dry‑run.</w:t>
      </w:r>
    </w:p>
    <w:p w14:paraId="1B7B9ED6" w14:textId="77777777" w:rsidR="0051111A" w:rsidRDefault="00000000">
      <w:pPr>
        <w:pStyle w:val="Ttulo1"/>
      </w:pPr>
      <w:r>
        <w:t>11. Validación y Cumplimiento</w:t>
      </w:r>
    </w:p>
    <w:p w14:paraId="7089291E" w14:textId="77777777" w:rsidR="0051111A" w:rsidRDefault="00000000">
      <w:pPr>
        <w:spacing w:after="160"/>
      </w:pPr>
      <w:r>
        <w:t>Tras la implementación, el sistema valida que la instrumentación cumple exactamente la especificación aprobada y las reglas de consentimiento. Estas validaciones producen evidencias auditables para entornos regulados.</w:t>
      </w:r>
    </w:p>
    <w:p w14:paraId="58FB58A3" w14:textId="77777777" w:rsidR="0051111A" w:rsidRDefault="00000000">
      <w:pPr>
        <w:pStyle w:val="Ttulo1"/>
      </w:pPr>
      <w:r>
        <w:t>12. Testing</w:t>
      </w:r>
    </w:p>
    <w:p w14:paraId="3D843F0E" w14:textId="77777777" w:rsidR="0051111A" w:rsidRDefault="00000000">
      <w:pPr>
        <w:spacing w:after="160"/>
      </w:pPr>
      <w:r>
        <w:t>El sistema incluye testing automatizado en tres niveles: unitario, integración y end‑to‑end. Se priorizan tests deterministas y golden tests para asegurar invariancia de resultados.</w:t>
      </w:r>
    </w:p>
    <w:p w14:paraId="1573CDC3" w14:textId="77777777" w:rsidR="0051111A" w:rsidRDefault="00000000">
      <w:pPr>
        <w:pStyle w:val="Ttulo1"/>
      </w:pPr>
      <w:r>
        <w:lastRenderedPageBreak/>
        <w:t>13. Accesibilidad</w:t>
      </w:r>
    </w:p>
    <w:p w14:paraId="16A964DE" w14:textId="77777777" w:rsidR="0051111A" w:rsidRDefault="00000000">
      <w:pPr>
        <w:spacing w:after="160"/>
      </w:pPr>
      <w:r>
        <w:t>La aplicación cumple criterios de accesibilidad desde el diseño: navegación por teclado, roles ARIA y foco visible. Esto no es una característica opcional sino un requisito base.</w:t>
      </w:r>
    </w:p>
    <w:p w14:paraId="7B8F66DF" w14:textId="77777777" w:rsidR="0051111A" w:rsidRDefault="00000000">
      <w:pPr>
        <w:pStyle w:val="Ttulo1"/>
      </w:pPr>
      <w:r>
        <w:t>14. Diseño y Temas</w:t>
      </w:r>
    </w:p>
    <w:p w14:paraId="476A6B21" w14:textId="5325FD43" w:rsidR="0051111A" w:rsidRDefault="00000000">
      <w:pPr>
        <w:spacing w:after="160"/>
      </w:pPr>
      <w:r>
        <w:t>La interfaz soporta múltiples temas (claro, oscuro, alto contraste) mediante tokens de diseño</w:t>
      </w:r>
      <w:r w:rsidR="00BB188F">
        <w:t xml:space="preserve"> (css variables)</w:t>
      </w:r>
      <w:r>
        <w:t>. Los estados relacionados con LLM, validación y errores tienen representación visual consistente.</w:t>
      </w:r>
    </w:p>
    <w:p w14:paraId="589C9D0A" w14:textId="77777777" w:rsidR="0051111A" w:rsidRDefault="00000000">
      <w:pPr>
        <w:pStyle w:val="Ttulo1"/>
      </w:pPr>
      <w:r>
        <w:t>15. Evolución y Extensibilidad</w:t>
      </w:r>
    </w:p>
    <w:p w14:paraId="0B41707D" w14:textId="77777777" w:rsidR="0051111A" w:rsidRDefault="00000000">
      <w:pPr>
        <w:spacing w:after="160"/>
      </w:pPr>
      <w:r>
        <w:t>La arquitectura permite evolución natural hacia modo CLI, integración CI, uso multi‑equipo y despliegue enterprise sin rediseño del núcleo.</w:t>
      </w:r>
    </w:p>
    <w:sectPr w:rsidR="005111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4673852">
    <w:abstractNumId w:val="8"/>
  </w:num>
  <w:num w:numId="2" w16cid:durableId="1596596500">
    <w:abstractNumId w:val="6"/>
  </w:num>
  <w:num w:numId="3" w16cid:durableId="978339883">
    <w:abstractNumId w:val="5"/>
  </w:num>
  <w:num w:numId="4" w16cid:durableId="971788183">
    <w:abstractNumId w:val="4"/>
  </w:num>
  <w:num w:numId="5" w16cid:durableId="967586013">
    <w:abstractNumId w:val="7"/>
  </w:num>
  <w:num w:numId="6" w16cid:durableId="1656764571">
    <w:abstractNumId w:val="3"/>
  </w:num>
  <w:num w:numId="7" w16cid:durableId="675230668">
    <w:abstractNumId w:val="2"/>
  </w:num>
  <w:num w:numId="8" w16cid:durableId="2145197408">
    <w:abstractNumId w:val="1"/>
  </w:num>
  <w:num w:numId="9" w16cid:durableId="163918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11A"/>
    <w:rsid w:val="00AA1D8D"/>
    <w:rsid w:val="00B47730"/>
    <w:rsid w:val="00BB188F"/>
    <w:rsid w:val="00CB0664"/>
    <w:rsid w:val="00ED23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C45E1"/>
  <w14:defaultImageDpi w14:val="300"/>
  <w15:docId w15:val="{06FAB56F-C1D9-4203-8C20-355A195A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688</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Verduin Cortés, David</dc:creator>
  <cp:keywords/>
  <dc:description>generated by python-docx</dc:description>
  <cp:lastModifiedBy>Verduin Cortés, David</cp:lastModifiedBy>
  <cp:revision>2</cp:revision>
  <dcterms:created xsi:type="dcterms:W3CDTF">2026-05-08T10:07:00Z</dcterms:created>
  <dcterms:modified xsi:type="dcterms:W3CDTF">2026-05-08T10:22:00Z</dcterms:modified>
  <cp:category/>
</cp:coreProperties>
</file>