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Дан  файла, содержащий список IP-адресов протокола IPv4 из журнала доступа. На каждой строке записан адрес и время, в которое с него пришёл запрос.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разработать консольное приложение, которое  выводит в файл список IP-адресов из файла журнала, входящих в указанный диапазон с количеством обращений с этого адреса в указанный интервал времени.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 параметры передаются приложению через параметры командной строки: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--file-log — путь к файлу с логами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--file-output — путь к файлу с результатом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--address-start —  нижняя граница диапазона адресов, необязательный параметр, по умолчанию обрабатываются все адреса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--address-mask — маска подсети, задающая верхнюю границу диапазона десятичное число. Необязательный параметр. В случае, если он не указан, обрабатываются все адреса, начиная с нижней границы диапазона. Параметр нельзя использовать, если не задан address-start.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возможности, кроме передачи параметров через командную строку, предусмотреть возможность частичной/полной передачи параметров через файлы конфигурации или переменные среды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Программа не должна ломаться от некорректных входных данных, ошибок ввода-вывода и прочим причинам, которые можно предусмотреть.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Код должен быть оптимальным и читаемым, при разработке желательно использовать общераспространённые практики (паттерны проектирования, тесты...)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