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№1.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Гандич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Владимировна.</w:t>
      </w:r>
      <w:r>
        <w:t xml:space="preserve"> </w:t>
      </w:r>
      <w:r>
        <w:t xml:space="preserve">НБИбд-02-22.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Через консоль открываем Virtual Box</w:t>
      </w:r>
    </w:p>
    <w:p>
      <w:pPr>
        <w:pStyle w:val="CaptionedFigure"/>
      </w:pPr>
      <w:r>
        <w:drawing>
          <wp:inline>
            <wp:extent cx="3695700" cy="774700"/>
            <wp:effectExtent b="0" l="0" r="0" t="0"/>
            <wp:docPr descr="открываем Virtual Box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открываем Virtual Box</w:t>
      </w:r>
    </w:p>
    <w:p>
      <w:pPr>
        <w:pStyle w:val="Compact"/>
        <w:numPr>
          <w:ilvl w:val="0"/>
          <w:numId w:val="1002"/>
        </w:numPr>
      </w:pPr>
      <w:r>
        <w:t xml:space="preserve">Настраиваем в свойствах VirtualBox месторасположение каталога для виртуальных машин.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месторасположение каталог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месторасположение каталога</w:t>
      </w:r>
    </w:p>
    <w:p>
      <w:pPr>
        <w:pStyle w:val="Compact"/>
        <w:numPr>
          <w:ilvl w:val="0"/>
          <w:numId w:val="1003"/>
        </w:numPr>
      </w:pPr>
      <w:r>
        <w:t xml:space="preserve">Копируем диск с дистрибутивом в папку с именем, оттуда указываем этот диск в носители.</w:t>
      </w:r>
    </w:p>
    <w:p>
      <w:pPr>
        <w:pStyle w:val="CaptionedFigure"/>
      </w:pPr>
      <w:r>
        <w:drawing>
          <wp:inline>
            <wp:extent cx="4800600" cy="1765381"/>
            <wp:effectExtent b="0" l="0" r="0" t="0"/>
            <wp:docPr descr="носитель дистрибутив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65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носитель дистрибутива</w:t>
      </w:r>
    </w:p>
    <w:p>
      <w:pPr>
        <w:pStyle w:val="CaptionedFigure"/>
      </w:pPr>
      <w:r>
        <w:drawing>
          <wp:inline>
            <wp:extent cx="4800600" cy="3129437"/>
            <wp:effectExtent b="0" l="0" r="0" t="0"/>
            <wp:docPr descr="установка носителя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носителя</w:t>
      </w:r>
    </w:p>
    <w:p>
      <w:pPr>
        <w:pStyle w:val="Compact"/>
        <w:numPr>
          <w:ilvl w:val="0"/>
          <w:numId w:val="1004"/>
        </w:numPr>
      </w:pPr>
      <w:r>
        <w:t xml:space="preserve">Запускаем машину, создаем нужные настройки согласно описанию лабораторной работы.</w:t>
      </w:r>
    </w:p>
    <w:p>
      <w:pPr>
        <w:pStyle w:val="CaptionedFigure"/>
      </w:pPr>
      <w:r>
        <w:drawing>
          <wp:inline>
            <wp:extent cx="4800600" cy="2679634"/>
            <wp:effectExtent b="0" l="0" r="0" t="0"/>
            <wp:docPr descr="настройка машин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машины</w:t>
      </w:r>
    </w:p>
    <w:p>
      <w:pPr>
        <w:pStyle w:val="Compact"/>
        <w:numPr>
          <w:ilvl w:val="0"/>
          <w:numId w:val="1005"/>
        </w:numPr>
      </w:pPr>
      <w:r>
        <w:t xml:space="preserve">Ждем установки.</w:t>
      </w:r>
    </w:p>
    <w:p>
      <w:pPr>
        <w:pStyle w:val="CaptionedFigure"/>
      </w:pPr>
      <w:r>
        <w:drawing>
          <wp:inline>
            <wp:extent cx="4800600" cy="2679634"/>
            <wp:effectExtent b="0" l="0" r="0" t="0"/>
            <wp:docPr descr="установк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</w:t>
      </w:r>
    </w:p>
    <w:p>
      <w:pPr>
        <w:pStyle w:val="Compact"/>
        <w:numPr>
          <w:ilvl w:val="0"/>
          <w:numId w:val="1006"/>
        </w:numPr>
      </w:pPr>
      <w:r>
        <w:t xml:space="preserve">После завершения установки, перезапускаем машину. Входим в систему, совершаем команды из текста лабораторной работы.</w:t>
      </w:r>
    </w:p>
    <w:p>
      <w:pPr>
        <w:pStyle w:val="CaptionedFigure"/>
      </w:pPr>
      <w:r>
        <w:drawing>
          <wp:inline>
            <wp:extent cx="4800600" cy="3349571"/>
            <wp:effectExtent b="0" l="0" r="0" t="0"/>
            <wp:docPr descr="вход в ос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вход в ос</w:t>
      </w:r>
    </w:p>
    <w:p>
      <w:pPr>
        <w:pStyle w:val="Compact"/>
        <w:numPr>
          <w:ilvl w:val="0"/>
          <w:numId w:val="1007"/>
        </w:numPr>
      </w:pPr>
      <w:r>
        <w:t xml:space="preserve">Выполняем команду dmesg и dmesg | less</w:t>
      </w:r>
    </w:p>
    <w:p>
      <w:pPr>
        <w:pStyle w:val="CaptionedFigure"/>
      </w:pPr>
      <w:r>
        <w:drawing>
          <wp:inline>
            <wp:extent cx="4800600" cy="3349571"/>
            <wp:effectExtent b="0" l="0" r="0" t="0"/>
            <wp:docPr descr="dmesg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dmesg</w:t>
      </w:r>
    </w:p>
    <w:p>
      <w:pPr>
        <w:pStyle w:val="CaptionedFigure"/>
      </w:pPr>
      <w:r>
        <w:drawing>
          <wp:inline>
            <wp:extent cx="4800600" cy="3289952"/>
            <wp:effectExtent b="0" l="0" r="0" t="0"/>
            <wp:docPr descr="dmesg | less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89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dmesg | less</w:t>
      </w:r>
    </w:p>
    <w:p>
      <w:pPr>
        <w:pStyle w:val="Compact"/>
        <w:numPr>
          <w:ilvl w:val="0"/>
          <w:numId w:val="1008"/>
        </w:numPr>
      </w:pPr>
      <w:r>
        <w:t xml:space="preserve">Выполняем домашнюю работу, используя команду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CaptionedFigure"/>
      </w:pPr>
      <w:r>
        <w:drawing>
          <wp:inline>
            <wp:extent cx="4800600" cy="3549296"/>
            <wp:effectExtent b="0" l="0" r="0" t="0"/>
            <wp:docPr descr="dmesg | grep -i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4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dmesg | grep -i</w:t>
      </w:r>
    </w:p>
    <w:bookmarkEnd w:id="51"/>
    <w:bookmarkStart w:id="53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установили операционную систему Rocky на виртуальную машину. Настроили сервисы для минимальной необходимой работы.</w:t>
      </w:r>
    </w:p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№1.</dc:title>
  <dc:creator>Гандич Дарья Владимировна. НБИбд-02-22.</dc:creator>
  <dc:language>ru-RU</dc:language>
  <cp:keywords/>
  <dcterms:created xsi:type="dcterms:W3CDTF">2024-02-16T13:57:12Z</dcterms:created>
  <dcterms:modified xsi:type="dcterms:W3CDTF">2024-02-16T13:57:12Z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