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UC005: List Users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Security, User Management, Authentication, Authorization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34" y="3780000"/>
                          <a:ext cx="575953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2443C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>
          <w:rFonts w:ascii="Ebrima" w:cs="Ebrima" w:eastAsia="Ebrima" w:hAnsi="Ebrima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  <w:t xml:space="preserve">Reference: </w:t>
        <w:tab/>
        <w:tab/>
      </w:r>
      <w:r w:rsidDel="00000000" w:rsidR="00000000" w:rsidRPr="00000000">
        <w:rPr>
          <w:color w:val="808080"/>
          <w:rtl w:val="0"/>
        </w:rPr>
        <w:t xml:space="preserve">[Subject]</w:t>
      </w:r>
      <w:r w:rsidDel="00000000" w:rsidR="00000000" w:rsidRPr="00000000">
        <w:rPr>
          <w:rFonts w:ascii="Ebrima" w:cs="Ebrima" w:eastAsia="Ebrima" w:hAnsi="Ebrima"/>
          <w:b w:val="1"/>
          <w:i w:val="1"/>
          <w:color w:val="ed7d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ed7d31"/>
          <w:sz w:val="20"/>
          <w:szCs w:val="20"/>
          <w:rtl w:val="0"/>
        </w:rPr>
        <w:t xml:space="preserve">Document reference to be filled by Quality department if needed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Edition/review: </w:t>
        <w:tab/>
        <w:tab/>
        <w:t xml:space="preserve">1/0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Author(s):</w:t>
        <w:tab/>
        <w:tab/>
        <w:t xml:space="preserve">David Van Hoecke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ab/>
        <w:tab/>
        <w:t xml:space="preserve">02/03/2017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Changelog:</w:t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1276"/>
        <w:gridCol w:w="6089"/>
        <w:tblGridChange w:id="0">
          <w:tblGrid>
            <w:gridCol w:w="988"/>
            <w:gridCol w:w="708"/>
            <w:gridCol w:w="1276"/>
            <w:gridCol w:w="6089"/>
          </w:tblGrid>
        </w:tblGridChange>
      </w:tblGrid>
      <w:tr>
        <w:trPr>
          <w:trHeight w:val="50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20170307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created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Use Case [005]: List User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0j0zll">
            <w:r w:rsidDel="00000000" w:rsidR="00000000" w:rsidRPr="00000000">
              <w:rPr>
                <w:rtl w:val="0"/>
              </w:rPr>
              <w:t xml:space="preserve">Description]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Level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Trigger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Primary Actor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Stakeholders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Preconditions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9qx93iaiwpzq">
            <w:r w:rsidDel="00000000" w:rsidR="00000000" w:rsidRPr="00000000">
              <w:rPr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_9qx93iaiwpzq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vhbefmiqgv2p">
            <w:r w:rsidDel="00000000" w:rsidR="00000000" w:rsidRPr="00000000">
              <w:rPr>
                <w:rtl w:val="0"/>
              </w:rPr>
              <w:t xml:space="preserve">Extensions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_vhbefmiqgv2p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7dp8vu">
            <w:r w:rsidDel="00000000" w:rsidR="00000000" w:rsidRPr="00000000">
              <w:rPr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Frequency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w36irihtyiy4">
            <w:r w:rsidDel="00000000" w:rsidR="00000000" w:rsidRPr="00000000">
              <w:rPr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_w36irihtyiy4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begin"/>
        <w:instrText xml:space="preserve"> HYPERLINK \l "_Toc476045519"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5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UC005: List Users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60" w:before="360" w:line="240" w:lineRule="auto"/>
        <w:ind w:left="432" w:hanging="432"/>
        <w:contextualSpacing w:val="0"/>
        <w:jc w:val="left"/>
        <w:rPr>
          <w:rFonts w:ascii="Calibri" w:cs="Calibri" w:eastAsia="Calibri" w:hAnsi="Calibri"/>
          <w:color w:val="0099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 Case [005]: List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Administrator can view a page that lists all users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>
          <w:sz w:val="19"/>
          <w:szCs w:val="19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Administrator clicks a “User Management” link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Primary Actor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is an administrator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Stakeholders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workstation will have a browser window open, pointing to the site.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9qx93iaiwpzq" w:id="8"/>
      <w:bookmarkEnd w:id="8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admin clicks the user management link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system displays a </w:t>
      </w:r>
      <w:r w:rsidDel="00000000" w:rsidR="00000000" w:rsidRPr="00000000">
        <w:rPr>
          <w:b w:val="0"/>
          <w:color w:val="42443c"/>
          <w:rtl w:val="0"/>
        </w:rPr>
        <w:t xml:space="preserve">form</w:t>
      </w:r>
      <w:r w:rsidDel="00000000" w:rsidR="00000000" w:rsidRPr="00000000">
        <w:rPr>
          <w:rtl w:val="0"/>
        </w:rPr>
        <w:t xml:space="preserve"> with a list of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vhbefmiqgv2p" w:id="9"/>
      <w:bookmarkEnd w:id="9"/>
      <w:r w:rsidDel="00000000" w:rsidR="00000000" w:rsidRPr="00000000">
        <w:rPr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Post Conditio</w:t>
      </w:r>
      <w:r w:rsidDel="00000000" w:rsidR="00000000" w:rsidRPr="00000000">
        <w:rPr>
          <w:rtl w:val="0"/>
        </w:rPr>
        <w:t xml:space="preserve">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Success </w:t>
      </w:r>
      <w:r w:rsidDel="00000000" w:rsidR="00000000" w:rsidRPr="00000000">
        <w:rPr>
          <w:color w:val="42443c"/>
          <w:rtl w:val="0"/>
        </w:rPr>
        <w:t xml:space="preserve">End</w:t>
      </w:r>
      <w:r w:rsidDel="00000000" w:rsidR="00000000" w:rsidRPr="00000000">
        <w:rPr>
          <w:rtl w:val="0"/>
        </w:rPr>
        <w:t xml:space="preserve">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systems retrieves and displays a list of users. A number of commands are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216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/ remove admin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Minimal</w:t>
      </w:r>
      <w:r w:rsidDel="00000000" w:rsidR="00000000" w:rsidRPr="00000000">
        <w:rPr>
          <w:rtl w:val="0"/>
        </w:rPr>
        <w:t xml:space="preserve"> Guarantees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will always have at least one user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Failure End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160" w:before="0" w:line="254" w:lineRule="auto"/>
        <w:ind w:left="1440" w:right="0" w:hanging="360"/>
        <w:contextualSpacing w:val="1"/>
        <w:jc w:val="both"/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users can be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case will occur sporadically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ksv4uv" w:id="12"/>
      <w:bookmarkEnd w:id="12"/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Performance: </w:t>
      </w:r>
      <w:r w:rsidDel="00000000" w:rsidR="00000000" w:rsidRPr="00000000">
        <w:rPr>
          <w:rtl w:val="0"/>
        </w:rPr>
        <w:tab/>
        <w:br w:type="textWrapping"/>
        <w:t xml:space="preserve">Timeout values will be set so the user receives “a resource unavailable” message if this occurs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Security</w:t>
        <w:br w:type="textWrapping"/>
      </w:r>
      <w:r w:rsidDel="00000000" w:rsidR="00000000" w:rsidRPr="00000000">
        <w:rPr>
          <w:rtl w:val="0"/>
        </w:rPr>
        <w:t xml:space="preserve">Only administrators have access to this page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 / Accessibility</w:t>
        <w:br w:type="textWrapping"/>
        <w:t xml:space="preserve">User must be able to view page in English, French and Spanish.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Other</w:t>
      </w:r>
      <w:r w:rsidDel="00000000" w:rsidR="00000000" w:rsidRPr="00000000">
        <w:rPr>
          <w:rtl w:val="0"/>
        </w:rPr>
        <w:br w:type="textWrapping"/>
        <w:t xml:space="preserve">The UI must be able to be used over a range of platforms: PC, laptop, tablet, smart phone…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w36irihtyiy4" w:id="13"/>
      <w:bookmarkEnd w:id="13"/>
      <w:r w:rsidDel="00000000" w:rsidR="00000000" w:rsidRPr="00000000">
        <w:rPr>
          <w:rtl w:val="0"/>
        </w:rPr>
        <w:t xml:space="preserve">Issues and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roles can be determined at a later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Approvals</w:t>
      </w:r>
    </w:p>
    <w:tbl>
      <w:tblPr>
        <w:tblStyle w:val="Table2"/>
        <w:tblW w:w="98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818"/>
        <w:gridCol w:w="2470"/>
        <w:gridCol w:w="2471"/>
        <w:tblGridChange w:id="0">
          <w:tblGrid>
            <w:gridCol w:w="2122"/>
            <w:gridCol w:w="2818"/>
            <w:gridCol w:w="2470"/>
            <w:gridCol w:w="2471"/>
          </w:tblGrid>
        </w:tblGridChange>
      </w:tblGrid>
      <w:tr>
        <w:trPr>
          <w:trHeight w:val="38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Ebrima"/>
  <w:font w:name="Arm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center"/>
      <w:rPr>
        <w:rFonts w:ascii="Ebrima" w:cs="Ebrima" w:eastAsia="Ebrima" w:hAnsi="Ebrima"/>
        <w:b w:val="1"/>
        <w:i w:val="0"/>
        <w:smallCaps w:val="0"/>
        <w:strike w:val="0"/>
        <w:color w:val="53813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Delair-Tech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676, Rue Max Planck – 31670 Toulouse-Labège, France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Tel: +33 (0) 5 82 95 44 06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www.delair-tech.com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     Capital: 212 597.90 € - APE: 3030Z – Intra-Community VAT number: FR90 53 09 69 781 – 530 969 781 R.C.S. Toulouse</w:t>
    </w:r>
  </w:p>
  <w:p w:rsidR="00000000" w:rsidDel="00000000" w:rsidP="00000000" w:rsidRDefault="00000000" w:rsidRPr="00000000">
    <w:pPr>
      <w:spacing w:after="0" w:lineRule="auto"/>
      <w:ind w:left="-426" w:firstLine="0"/>
      <w:contextualSpacing w:val="0"/>
      <w:rPr>
        <w:i w:val="1"/>
        <w:color w:val="000000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lineRule="auto"/>
      <w:ind w:left="-426" w:right="-567" w:firstLine="0"/>
      <w:contextualSpacing w:val="0"/>
      <w:jc w:val="center"/>
      <w:rPr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highlight w:val="white"/>
        <w:rtl w:val="0"/>
      </w:rPr>
      <w:t xml:space="preserve">This document is the sole property of Delair-Tech and cannot be used or reproduced without the written authorization of Delair-Tech.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2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752600" cy="5905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bullet"/>
      <w:lvlText w:val="■"/>
      <w:lvlJc w:val="left"/>
      <w:pPr>
        <w:ind w:left="720" w:hanging="720"/>
      </w:pPr>
      <w:rPr/>
    </w:lvl>
    <w:lvl w:ilvl="3">
      <w:start w:val="1"/>
      <w:numFmt w:val="decimal"/>
      <w:lvlText w:val="%4."/>
      <w:lvlJc w:val="left"/>
      <w:pPr>
        <w:ind w:left="864" w:hanging="864"/>
      </w:pPr>
      <w:rPr/>
    </w:lvl>
    <w:lvl w:ilvl="4">
      <w:start w:val="1"/>
      <w:numFmt w:val="decimal"/>
      <w:lvlText w:val="%1.%2.■.%4.%5"/>
      <w:lvlJc w:val="left"/>
      <w:pPr>
        <w:ind w:left="1008" w:hanging="1008"/>
      </w:pPr>
      <w:rPr/>
    </w:lvl>
    <w:lvl w:ilvl="5">
      <w:start w:val="1"/>
      <w:numFmt w:val="decimal"/>
      <w:lvlText w:val="%1.%2.■.%4.%5.%6"/>
      <w:lvlJc w:val="left"/>
      <w:pPr>
        <w:ind w:left="1152" w:hanging="1152"/>
      </w:pPr>
      <w:rPr/>
    </w:lvl>
    <w:lvl w:ilvl="6">
      <w:start w:val="1"/>
      <w:numFmt w:val="decimal"/>
      <w:lvlText w:val="%1.%2.■.%4.%5.%6.%7"/>
      <w:lvlJc w:val="left"/>
      <w:pPr>
        <w:ind w:left="1296" w:hanging="1296"/>
      </w:pPr>
      <w:rPr/>
    </w:lvl>
    <w:lvl w:ilvl="7">
      <w:start w:val="1"/>
      <w:numFmt w:val="decimal"/>
      <w:lvlText w:val="%1.%2.■.%4.%5.%6.%7.%8"/>
      <w:lvlJc w:val="left"/>
      <w:pPr>
        <w:ind w:left="1440" w:hanging="1440"/>
      </w:pPr>
      <w:rPr/>
    </w:lvl>
    <w:lvl w:ilvl="8">
      <w:start w:val="1"/>
      <w:numFmt w:val="decimal"/>
      <w:lvlText w:val="%1.%2.■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432" w:right="0" w:hanging="432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576" w:right="0" w:hanging="576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ee773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720" w:right="0" w:hanging="720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b2b2b5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864" w:right="0" w:hanging="864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1008" w:right="0" w:hanging="1008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0" w:right="0" w:firstLine="0"/>
      <w:contextualSpacing w:val="0"/>
      <w:jc w:val="left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contextualSpacing w:val="0"/>
      <w:jc w:val="both"/>
    </w:pPr>
    <w:rPr>
      <w:rFonts w:ascii="Ebrima" w:cs="Ebrima" w:eastAsia="Ebrima" w:hAnsi="Ebrima"/>
      <w:b w:val="0"/>
      <w:i w:val="0"/>
      <w:smallCaps w:val="1"/>
      <w:strike w:val="0"/>
      <w:color w:val="42443c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mat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