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UC013: Take Product Out Of Remark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Product Assembly, Assembly Component; PLM, Remark and Issue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09-03-2017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a6imsbt4xf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UC013: Take Product Out Of Remark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_ea6imsbt4xf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4m8myl0sv3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_k4m8myl0sv34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pf2srb5f3g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_fpf2srb5f3ge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auf2f5hlaliz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_auf2f5hlaliz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s9l8dz8ipkw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_s9l8dz8ipkw5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val0mh5lx1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_hval0mh5lx1u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orul3llyhes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_orul3llyhes1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9zwett8h7z1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_9zwett8h7z1h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ci5df5pp7z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_ci5df5pp7zya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ta522ksdkca2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Creating a solution: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_ta522ksdkca2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cnh97abgbf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Setting remark to “Resolved”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_qcnh97abgbfq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8ozvxkixxg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_48ozvxkixxgq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hli1a42awos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_fhli1a42awos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gijjxicuphe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_gijjxicuphem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ylko2z2vd0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_ylko2z2vd0xb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v8kck4owr5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_fv8kck4owr5m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UC013: Take Product Out Of Remark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contextualSpacing w:val="0"/>
        <w:rPr/>
      </w:pPr>
      <w:bookmarkStart w:colFirst="0" w:colLast="0" w:name="_ea6imsbt4xf" w:id="1"/>
      <w:bookmarkEnd w:id="1"/>
      <w:r w:rsidDel="00000000" w:rsidR="00000000" w:rsidRPr="00000000">
        <w:rPr>
          <w:rtl w:val="0"/>
        </w:rPr>
        <w:t xml:space="preserve">UC013: Take Product Out Of Remark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k4m8myl0sv34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in remark has one or more causes and one or more solutions defined the remark state can be “Resolved”. Resolving a remark state opens up the product assembly to continue the production process.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fpf2srb5f3ge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auf2f5hlaliz" w:id="4"/>
      <w:bookmarkEnd w:id="4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 selects the “resolve remark” feature from the product assembly remark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s9l8dz8ipkw5" w:id="5"/>
      <w:bookmarkEnd w:id="5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is an administrator or QA personnel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hval0mh5lx1u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orul3llyhes1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9zwett8h7z1h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</w:t>
      </w:r>
      <w:r w:rsidDel="00000000" w:rsidR="00000000" w:rsidRPr="00000000">
        <w:rPr>
          <w:rtl w:val="0"/>
        </w:rPr>
        <w:t xml:space="preserve">workstation</w:t>
      </w:r>
      <w:r w:rsidDel="00000000" w:rsidR="00000000" w:rsidRPr="00000000">
        <w:rPr>
          <w:rtl w:val="0"/>
        </w:rPr>
        <w:t xml:space="preserve"> will have a browser window open, pointing to the site.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ci5df5pp7zya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  <w:rPr/>
      </w:pPr>
      <w:r w:rsidDel="00000000" w:rsidR="00000000" w:rsidRPr="00000000">
        <w:rPr>
          <w:rtl w:val="0"/>
        </w:rPr>
        <w:t xml:space="preserve">After an Administrator has entered one or more solutions for each remark cause he / she can set the remark state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“Resolved” thereby freeing up the product  assembly.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720" w:right="0" w:hanging="720"/>
        <w:contextualSpacing w:val="0"/>
        <w:jc w:val="both"/>
        <w:rPr/>
      </w:pPr>
      <w:bookmarkStart w:colFirst="0" w:colLast="0" w:name="_pnm31kc0hb7" w:id="10"/>
      <w:bookmarkEnd w:id="10"/>
      <w:r w:rsidDel="00000000" w:rsidR="00000000" w:rsidRPr="00000000">
        <w:rPr>
          <w:rtl w:val="0"/>
        </w:rPr>
        <w:t xml:space="preserve">Creating </w:t>
      </w:r>
      <w:r w:rsidDel="00000000" w:rsidR="00000000" w:rsidRPr="00000000">
        <w:rPr>
          <w:b w:val="1"/>
          <w:color w:val="b2b2b5"/>
          <w:rtl w:val="0"/>
        </w:rPr>
        <w:t xml:space="preserve">a</w:t>
      </w:r>
      <w:r w:rsidDel="00000000" w:rsidR="00000000" w:rsidRPr="00000000">
        <w:rPr>
          <w:rtl w:val="0"/>
        </w:rPr>
        <w:t xml:space="preserve"> solution: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See “</w:t>
      </w:r>
      <w:r w:rsidDel="00000000" w:rsidR="00000000" w:rsidRPr="00000000">
        <w:rPr>
          <w:i w:val="1"/>
          <w:rtl w:val="0"/>
        </w:rPr>
        <w:t xml:space="preserve">UC012 Place product in remark and determine cause and solutions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720" w:right="0" w:hanging="720"/>
        <w:contextualSpacing w:val="0"/>
        <w:jc w:val="both"/>
        <w:rPr/>
      </w:pPr>
      <w:bookmarkStart w:colFirst="0" w:colLast="0" w:name="_qcnh97abgbfq" w:id="11"/>
      <w:bookmarkEnd w:id="11"/>
      <w:r w:rsidDel="00000000" w:rsidR="00000000" w:rsidRPr="00000000">
        <w:rPr>
          <w:rtl w:val="0"/>
        </w:rPr>
        <w:t xml:space="preserve">Setting remark</w:t>
      </w:r>
      <w:r w:rsidDel="00000000" w:rsidR="00000000" w:rsidRPr="00000000">
        <w:rPr>
          <w:b w:val="1"/>
          <w:color w:val="b2b2b5"/>
          <w:rtl w:val="0"/>
        </w:rPr>
        <w:t xml:space="preserve"> </w:t>
      </w:r>
      <w:r w:rsidDel="00000000" w:rsidR="00000000" w:rsidRPr="00000000">
        <w:rPr>
          <w:rtl w:val="0"/>
        </w:rPr>
        <w:t xml:space="preserve">to “Resolved”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Set the “Resolved” property of the remark to True (or Yes, or 1, or OK, etc)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4" w:lineRule="auto"/>
        <w:ind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8ozvxkixxgq" w:id="12"/>
      <w:bookmarkEnd w:id="12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edit attempt is made to stale data, eg. a user has an assembly page open for an assembly that has been placed in remark by another user after the page was opened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user is warned that he’s using data that has been changed since he requested it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user tries to restart process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b w:val="1"/>
          <w:rtl w:val="0"/>
        </w:rPr>
        <w:t xml:space="preserve">Exception:</w:t>
      </w:r>
      <w:r w:rsidDel="00000000" w:rsidR="00000000" w:rsidRPr="00000000">
        <w:rPr>
          <w:rtl w:val="0"/>
        </w:rPr>
        <w:t xml:space="preserve"> the admin attempts to resolve a remark but declined to provide causes and solutions. The system will notify the admin that the remark state cannot be resolved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hli1a42awos" w:id="13"/>
      <w:bookmarkEnd w:id="13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The product’s remark states have all been set to “Resolved”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Minimal Guarantees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The system will ensure that a product with resolved Remark States is no longer blocked from further actions.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ijjxicuphem" w:id="14"/>
      <w:bookmarkEnd w:id="14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case should occur for every remark, if not the product assembly remains blocked and is nothing but a drain on company resources.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lko2z2vd0xb" w:id="15"/>
      <w:bookmarkEnd w:id="1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v8kck4owr5m" w:id="16"/>
      <w:bookmarkEnd w:id="16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be discussed thoroughly with Quentin, Dennis, Els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