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UC014: View Product Remark History</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color w:val="808080"/>
          <w:rtl w:val="0"/>
        </w:rPr>
        <w:t xml:space="preserve">Product Assemblies, Component Assemblies, PLM</w:t>
        <w:tab/>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r>
      <w:r w:rsidDel="00000000" w:rsidR="00000000" w:rsidRPr="00000000">
        <w:rPr>
          <w:color w:val="808080"/>
          <w:rtl w:val="0"/>
        </w:rPr>
        <w:t xml:space="preserve">10-3-2017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51"/>
        <w:gridCol w:w="1152"/>
        <w:gridCol w:w="1684"/>
        <w:gridCol w:w="1685"/>
        <w:gridCol w:w="2239"/>
        <w:tblGridChange w:id="0">
          <w:tblGrid>
            <w:gridCol w:w="1151"/>
            <w:gridCol w:w="1151"/>
            <w:gridCol w:w="1152"/>
            <w:gridCol w:w="1684"/>
            <w:gridCol w:w="1685"/>
            <w:gridCol w:w="2239"/>
          </w:tblGrid>
        </w:tblGridChange>
      </w:tblGrid>
      <w:tr>
        <w:trPr>
          <w:trHeight w:val="56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Edition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Review</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Writing</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Validation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20170310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Issuance of the document </w:t>
            </w:r>
          </w:p>
        </w:tc>
      </w:tr>
      <w:t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color w:val="000000"/>
                <w:sz w:val="22"/>
                <w:szCs w:val="22"/>
                <w:rtl w:val="0"/>
              </w:rPr>
              <w:t xml:space="preserve">UC014: View Product Remark History</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tz2zgpj7ovfh">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_tz2zgpj7ovfh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n33si02j2c0p">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_n33si02j2c0p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3h5o6p17w1zi">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_3h5o6p17w1zi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cm1hb4g3puh9">
            <w:r w:rsidDel="00000000" w:rsidR="00000000" w:rsidRPr="00000000">
              <w:rPr>
                <w:rFonts w:ascii="Calibri" w:cs="Calibri" w:eastAsia="Calibri" w:hAnsi="Calibri"/>
                <w:color w:val="000000"/>
                <w:sz w:val="22"/>
                <w:szCs w:val="22"/>
                <w:rtl w:val="0"/>
              </w:rPr>
              <w:t xml:space="preserve">Primary Actor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_cm1hb4g3puh9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2fm2hbgwnsr">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_a2fm2hbgwnsr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t73bbfnn61ti">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_t73bbfnn61ti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mu0hvjysj83g">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_mu0hvjysj83g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yh5eyzi5wjly">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_yh5eyzi5wjly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pax7qo21fgmy">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_pax7qo21fgmy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lctv5nd0uuzq">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_lctv5nd0uuzq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4qi0cicofj3q">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_4qi0cicofj3q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l570wfps4a78">
            <w:r w:rsidDel="00000000" w:rsidR="00000000" w:rsidRPr="00000000">
              <w:rPr>
                <w:rFonts w:ascii="Calibri" w:cs="Calibri" w:eastAsia="Calibri" w:hAnsi="Calibri"/>
                <w:color w:val="000000"/>
                <w:sz w:val="22"/>
                <w:szCs w:val="22"/>
                <w:rtl w:val="0"/>
              </w:rPr>
              <w:t xml:space="preserve">Special Requirements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_l570wfps4a78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60" w:line="240" w:lineRule="auto"/>
            <w:ind w:left="360" w:firstLine="0"/>
            <w:contextualSpacing w:val="0"/>
            <w:rPr>
              <w:rFonts w:ascii="Calibri" w:cs="Calibri" w:eastAsia="Calibri" w:hAnsi="Calibri"/>
              <w:color w:val="000000"/>
              <w:sz w:val="22"/>
              <w:szCs w:val="22"/>
            </w:rPr>
          </w:pPr>
          <w:hyperlink w:anchor="_logfqplsff8n">
            <w:r w:rsidDel="00000000" w:rsidR="00000000" w:rsidRPr="00000000">
              <w:rPr>
                <w:rFonts w:ascii="Calibri" w:cs="Calibri" w:eastAsia="Calibri" w:hAnsi="Calibri"/>
                <w:color w:val="000000"/>
                <w:sz w:val="22"/>
                <w:szCs w:val="22"/>
                <w:rtl w:val="0"/>
              </w:rPr>
              <w:t xml:space="preserve">Issues and Next Steps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_logfqplsff8n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UC014: View Product Remark History</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bookmarkStart w:colFirst="0" w:colLast="0" w:name="_30j0zll" w:id="1"/>
      <w:bookmarkEnd w:id="1"/>
      <w:r w:rsidDel="00000000" w:rsidR="00000000" w:rsidRPr="00000000">
        <w:rPr>
          <w:rtl w:val="0"/>
        </w:rPr>
        <w:t xml:space="preserve">UC014: View Product Remark History</w:t>
      </w:r>
    </w:p>
    <w:p w:rsidR="00000000" w:rsidDel="00000000" w:rsidP="00000000" w:rsidRDefault="00000000" w:rsidRPr="00000000">
      <w:pPr>
        <w:pStyle w:val="Heading2"/>
        <w:numPr>
          <w:ilvl w:val="1"/>
          <w:numId w:val="2"/>
        </w:numPr>
        <w:ind w:left="576" w:hanging="576"/>
        <w:contextualSpacing w:val="0"/>
        <w:rPr/>
      </w:pPr>
      <w:bookmarkStart w:colFirst="0" w:colLast="0" w:name="_tz2zgpj7ovfh" w:id="2"/>
      <w:bookmarkEnd w:id="2"/>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 view will be created that enables us to see the complete remark history for an assembly. This means displaying all remarks and per remark, causes and solutions.This data can also contain cost details.</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n33si02j2c0p" w:id="3"/>
      <w:bookmarkEnd w:id="3"/>
      <w:r w:rsidDel="00000000" w:rsidR="00000000" w:rsidRPr="00000000">
        <w:rPr>
          <w:rtl w:val="0"/>
        </w:rPr>
        <w:t xml:space="preserve">Level</w:t>
      </w:r>
    </w:p>
    <w:p w:rsidR="00000000" w:rsidDel="00000000" w:rsidP="00000000" w:rsidRDefault="00000000" w:rsidRPr="00000000">
      <w:pPr>
        <w:contextualSpacing w:val="0"/>
        <w:rPr/>
      </w:pPr>
      <w:r w:rsidDel="00000000" w:rsidR="00000000" w:rsidRPr="00000000">
        <w:rPr>
          <w:rtl w:val="0"/>
        </w:rPr>
        <w:t xml:space="preserve">User Goal</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3h5o6p17w1zi" w:id="4"/>
      <w:bookmarkEnd w:id="4"/>
      <w:r w:rsidDel="00000000" w:rsidR="00000000" w:rsidRPr="00000000">
        <w:rPr>
          <w:rtl w:val="0"/>
        </w:rPr>
        <w:t xml:space="preserve">Trigger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Primary Actor </w:t>
      </w:r>
      <w:r w:rsidDel="00000000" w:rsidR="00000000" w:rsidRPr="00000000">
        <w:rPr>
          <w:rtl w:val="0"/>
        </w:rPr>
        <w:t xml:space="preserve">selects the “view remark history” and selects an assembly serial.</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cm1hb4g3puh9" w:id="5"/>
      <w:bookmarkEnd w:id="5"/>
      <w:r w:rsidDel="00000000" w:rsidR="00000000" w:rsidRPr="00000000">
        <w:rPr>
          <w:rtl w:val="0"/>
        </w:rPr>
        <w:t xml:space="preserve">Primary Actor</w:t>
      </w:r>
    </w:p>
    <w:p w:rsidR="00000000" w:rsidDel="00000000" w:rsidP="00000000" w:rsidRDefault="00000000" w:rsidRPr="00000000">
      <w:pPr>
        <w:contextualSpacing w:val="0"/>
        <w:rPr/>
      </w:pPr>
      <w:r w:rsidDel="00000000" w:rsidR="00000000" w:rsidRPr="00000000">
        <w:rPr>
          <w:rtl w:val="0"/>
        </w:rPr>
        <w:t xml:space="preserve">The Primary Actor can QA personnel or an administrator</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a2fm2hbgwnsr" w:id="6"/>
      <w:bookmarkEnd w:id="6"/>
      <w:r w:rsidDel="00000000" w:rsidR="00000000" w:rsidRPr="00000000">
        <w:rPr>
          <w:rtl w:val="0"/>
        </w:rPr>
        <w:t xml:space="preserve">Additional/Supporting Actors</w:t>
      </w:r>
    </w:p>
    <w:p w:rsidR="00000000" w:rsidDel="00000000" w:rsidP="00000000" w:rsidRDefault="00000000" w:rsidRPr="00000000">
      <w:pPr>
        <w:contextualSpacing w:val="0"/>
        <w:rPr/>
      </w:pPr>
      <w:r w:rsidDel="00000000" w:rsidR="00000000" w:rsidRPr="00000000">
        <w:rPr>
          <w:rtl w:val="0"/>
        </w:rPr>
        <w:t xml:space="preserve">A developer may have created these reports on forehand.</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t73bbfnn61ti" w:id="7"/>
      <w:bookmarkEnd w:id="7"/>
      <w:r w:rsidDel="00000000" w:rsidR="00000000" w:rsidRPr="00000000">
        <w:rPr>
          <w:rtl w:val="0"/>
        </w:rPr>
        <w:t xml:space="preserve">Stakeholders</w:t>
      </w:r>
    </w:p>
    <w:p w:rsidR="00000000" w:rsidDel="00000000" w:rsidP="00000000" w:rsidRDefault="00000000" w:rsidRPr="00000000">
      <w:pPr>
        <w:numPr>
          <w:ilvl w:val="0"/>
          <w:numId w:val="3"/>
        </w:numPr>
        <w:spacing w:after="0" w:before="120" w:line="240" w:lineRule="auto"/>
        <w:ind w:left="720" w:hanging="360"/>
        <w:contextualSpacing w:val="1"/>
        <w:jc w:val="left"/>
        <w:rPr/>
      </w:pPr>
      <w:r w:rsidDel="00000000" w:rsidR="00000000" w:rsidRPr="00000000">
        <w:rPr>
          <w:rtl w:val="0"/>
        </w:rPr>
        <w:t xml:space="preserve">Production</w:t>
      </w:r>
    </w:p>
    <w:p w:rsidR="00000000" w:rsidDel="00000000" w:rsidP="00000000" w:rsidRDefault="00000000" w:rsidRPr="00000000">
      <w:pPr>
        <w:numPr>
          <w:ilvl w:val="0"/>
          <w:numId w:val="3"/>
        </w:numPr>
        <w:spacing w:after="0" w:line="240" w:lineRule="auto"/>
        <w:ind w:left="720" w:hanging="360"/>
        <w:contextualSpacing w:val="1"/>
        <w:jc w:val="left"/>
        <w:rPr/>
      </w:pPr>
      <w:r w:rsidDel="00000000" w:rsidR="00000000" w:rsidRPr="00000000">
        <w:rPr>
          <w:rtl w:val="0"/>
        </w:rPr>
        <w:t xml:space="preserve">Support</w:t>
      </w:r>
    </w:p>
    <w:p w:rsidR="00000000" w:rsidDel="00000000" w:rsidP="00000000" w:rsidRDefault="00000000" w:rsidRPr="00000000">
      <w:pPr>
        <w:numPr>
          <w:ilvl w:val="0"/>
          <w:numId w:val="3"/>
        </w:numPr>
        <w:spacing w:after="0" w:line="240" w:lineRule="auto"/>
        <w:ind w:left="720" w:hanging="360"/>
        <w:contextualSpacing w:val="1"/>
        <w:jc w:val="left"/>
        <w:rPr/>
      </w:pPr>
      <w:r w:rsidDel="00000000" w:rsidR="00000000" w:rsidRPr="00000000">
        <w:rPr>
          <w:rtl w:val="0"/>
        </w:rPr>
        <w:t xml:space="preserve">Management</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mu0hvjysj83g" w:id="8"/>
      <w:bookmarkEnd w:id="8"/>
      <w:r w:rsidDel="00000000" w:rsidR="00000000" w:rsidRPr="00000000">
        <w:rPr>
          <w:rtl w:val="0"/>
        </w:rPr>
        <w:t xml:space="preserve">Preconditions</w:t>
      </w:r>
    </w:p>
    <w:p w:rsidR="00000000" w:rsidDel="00000000" w:rsidP="00000000" w:rsidRDefault="00000000" w:rsidRPr="00000000">
      <w:pPr>
        <w:contextualSpacing w:val="0"/>
        <w:rPr/>
      </w:pPr>
      <w:r w:rsidDel="00000000" w:rsidR="00000000" w:rsidRPr="00000000">
        <w:rPr>
          <w:rtl w:val="0"/>
        </w:rPr>
        <w:t xml:space="preserve">The Primary</w:t>
      </w:r>
      <w:r w:rsidDel="00000000" w:rsidR="00000000" w:rsidRPr="00000000">
        <w:rPr>
          <w:rtl w:val="0"/>
        </w:rPr>
        <w:t xml:space="preserve"> </w:t>
      </w:r>
      <w:r w:rsidDel="00000000" w:rsidR="00000000" w:rsidRPr="00000000">
        <w:rPr>
          <w:rtl w:val="0"/>
        </w:rPr>
        <w:t xml:space="preserve">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yh5eyzi5wjly" w:id="9"/>
      <w:bookmarkEnd w:id="9"/>
      <w:r w:rsidDel="00000000" w:rsidR="00000000" w:rsidRPr="00000000">
        <w:rPr>
          <w:rtl w:val="0"/>
        </w:rPr>
        <w:t xml:space="preserve">Main Success Scenario</w:t>
      </w:r>
    </w:p>
    <w:p w:rsidR="00000000" w:rsidDel="00000000" w:rsidP="00000000" w:rsidRDefault="00000000" w:rsidRPr="00000000">
      <w:pPr>
        <w:contextualSpacing w:val="0"/>
        <w:rPr/>
      </w:pPr>
      <w:r w:rsidDel="00000000" w:rsidR="00000000" w:rsidRPr="00000000">
        <w:rPr>
          <w:rtl w:val="0"/>
        </w:rPr>
        <w:t xml:space="preserve">After a user has chosen to report on particular data, all relevant data is retrieved and formatted properly for display / export. According to the report the result will enable us to gain insight in our production, make forecasts, learn lessons about our production and calculate costs, among many other benefits.</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pax7qo21fgmy" w:id="10"/>
      <w:bookmarkEnd w:id="10"/>
      <w:r w:rsidDel="00000000" w:rsidR="00000000" w:rsidRPr="00000000">
        <w:rPr>
          <w:rtl w:val="0"/>
        </w:rPr>
        <w:t xml:space="preserve">Extensions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An extension can be made to create alerts from / in conjunction with, reports made by this feature. So instead of only having a pull strategy that warns us only after we decided to display reports, this provides us with a push strategy that ensures we take action in time.</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lctv5nd0uuzq" w:id="11"/>
      <w:bookmarkEnd w:id="11"/>
      <w:r w:rsidDel="00000000" w:rsidR="00000000" w:rsidRPr="00000000">
        <w:rPr>
          <w:rtl w:val="0"/>
        </w:rPr>
        <w:t xml:space="preserve">Post 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Success End 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Reports provide functionally valid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Minimal Guarantees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system will ensure that reports are reusable and that exports allows to range out to different file formats</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4qi0cicofj3q" w:id="12"/>
      <w:bookmarkEnd w:id="12"/>
      <w:r w:rsidDel="00000000" w:rsidR="00000000" w:rsidRPr="00000000">
        <w:rPr>
          <w:rtl w:val="0"/>
        </w:rPr>
        <w:t xml:space="preserve">Frequency</w:t>
      </w:r>
    </w:p>
    <w:p w:rsidR="00000000" w:rsidDel="00000000" w:rsidP="00000000" w:rsidRDefault="00000000" w:rsidRPr="00000000">
      <w:pPr>
        <w:contextualSpacing w:val="0"/>
        <w:rPr/>
      </w:pPr>
      <w:r w:rsidDel="00000000" w:rsidR="00000000" w:rsidRPr="00000000">
        <w:rPr>
          <w:rtl w:val="0"/>
        </w:rPr>
        <w:t xml:space="preserve">Frequency is hard to determine without doing more research on this issue.</w:t>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l570wfps4a78" w:id="13"/>
      <w:bookmarkEnd w:id="13"/>
      <w:r w:rsidDel="00000000" w:rsidR="00000000" w:rsidRPr="00000000">
        <w:rPr>
          <w:rtl w:val="0"/>
        </w:rPr>
        <w:t xml:space="preserve">Special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Security</w:t>
        <w:br w:type="textWrapping"/>
        <w:t xml:space="preserve">Only administrators have access to this page</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logfqplsff8n" w:id="14"/>
      <w:bookmarkEnd w:id="14"/>
      <w:r w:rsidDel="00000000" w:rsidR="00000000" w:rsidRPr="00000000">
        <w:rPr>
          <w:rtl w:val="0"/>
        </w:rPr>
        <w:t xml:space="preserve">Issues and Next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b w:val="1"/>
          <w:color w:val="ee7730"/>
        </w:rPr>
      </w:pPr>
      <w:r w:rsidDel="00000000" w:rsidR="00000000" w:rsidRPr="00000000">
        <w:rPr>
          <w:rtl w:val="0"/>
        </w:rPr>
        <w:t xml:space="preserve">To be discussed with all stakeholders.</w:t>
      </w:r>
      <w:r w:rsidDel="00000000" w:rsidR="00000000" w:rsidRPr="00000000">
        <w:rPr>
          <w:rtl w:val="0"/>
        </w:rPr>
      </w:r>
    </w:p>
    <w:sectPr>
      <w:headerReference r:id="rId7" w:type="default"/>
      <w:foot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88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0" distR="0">
          <wp:extent cx="1511917" cy="6048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11917" cy="6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pPr>
    <w:rPr>
      <w:rFonts w:ascii="Ebrima" w:cs="Ebrima" w:eastAsia="Ebrima" w:hAnsi="Ebrima"/>
      <w:b w:val="1"/>
      <w:i w:val="0"/>
      <w:smallCaps w:val="0"/>
      <w:strike w:val="0"/>
      <w:color w:val="ee773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