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UC016: Display all Product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Product Model, Model Component, Product Assembly, Assembly Component, PLM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16-03-2017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UC016: Display all Product Data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z2zgpj7ovf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_tz2zgpj7ovfh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33si02j2c0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_n33si02j2c0p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h5o6p17w1z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_3h5o6p17w1zi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cm1hb4g3puh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_cm1hb4g3puh9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a2fm2hbgwnsr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_a2fm2hbgwnsr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73bbfnn61t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_t73bbfnn61ti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mu0hvjysj83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_mu0hvjysj83g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yh5eyzi5wjl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_yh5eyzi5wjly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ax7qo21fgm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_pax7qo21fgmy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ctv5nd0uuz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_lctv5nd0uuzq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qi0cicofj3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_4qi0cicofj3q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570wfps4a7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_l570wfps4a78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ogfqplsff8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_logfqplsff8n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UC016: Display all Product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UC016: Display all Product Data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tz2zgpj7ovfh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Putting our Product Assembly page into Read Only mode allows us to visualize all T&amp;T data for a product assembly with drill down features on all components that are references to other product assemblies.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will still, either by manual input or scanning, be able to chose a serial number after which the corresponding product assembly is retrieved from the database and displayed.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UC018: Create &amp; Edit Product Assembly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n33si02j2c0p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3h5o6p17w1zi" w:id="4"/>
      <w:bookmarkEnd w:id="4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not logged into the application, selecting a serial number will load the read only view of the product assembly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cm1hb4g3puh9" w:id="5"/>
      <w:bookmarkEnd w:id="5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can QA personnel or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a2fm2hbgwnsr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t73bbfnn61ti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Marcom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mu0hvjysj83g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yh5eyzi5wjly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UC018: Create &amp; Edit Product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pax7qo21fgmy" w:id="10"/>
      <w:bookmarkEnd w:id="1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UC018: Create &amp; Edit Product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lctv5nd0uuzq" w:id="11"/>
      <w:bookmarkEnd w:id="11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UC018: Create &amp; Edit Product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4qi0cicofj3q" w:id="12"/>
      <w:bookmarkEnd w:id="12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will occur quite regularly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l570wfps4a78" w:id="13"/>
      <w:bookmarkEnd w:id="13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_logfqplsff8n" w:id="14"/>
      <w:bookmarkEnd w:id="14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