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UC017: CRUD Work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Assemblies, Work Instructions, User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16-03-2017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UC017: CRUD Work Instruction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n0610y1aui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_fn0610y1auic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54nn6toaxe1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_54nn6toaxe1c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a7ox917j8rv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_qa7ox917j8rv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057r7yyrl5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_3057r7yyrl58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vwfbolffxrhl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_vwfbolffxrhl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21gsgbgxg2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_k21gsgbgxg2n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0e3iduensb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_p0e3iduensbd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wl4u8uzxwo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_1wl4u8uzxwoe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abbakvjmf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Create, Update and Delete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_kabbakvjmfg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kzzoj3ngg5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View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_1kzzoj3ngg5t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6b020mx1s2e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_6b020mx1s2ea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hgv6sr7jhx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_4hgv6sr7jhxy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hyjwc42vbv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_phyjwc42vbvd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zstalxz22z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_kzstalxz22zb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oueoxtw2y8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_noueoxtw2y8b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UC017: CRUD Work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UC017: CRUD Work Instruction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fn0610y1auic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creating Model Components, the primary actor can create work instructions for a component. These work instructions consist of a header or title, a descriptive text and an instructional image.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These work instructions remain linked to the model component but on creating a new version of the product model these instructions are copied over from the previous model.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work instruction can be marked as “new” when it has changed. In the UI this will be reflected so the user notices it straight away.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54nn6toaxe1c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qa7ox917j8rv" w:id="4"/>
      <w:bookmarkEnd w:id="4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chooses to Create, Update or Delete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3057r7yyrl58" w:id="5"/>
      <w:bookmarkEnd w:id="5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can be any type of user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vwfbolffxrhl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k21gsgbgxg2n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p0e3iduensbd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1wl4u8uzxwoe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720" w:right="0" w:hanging="720"/>
        <w:contextualSpacing w:val="0"/>
        <w:jc w:val="both"/>
        <w:rPr/>
      </w:pPr>
      <w:bookmarkStart w:colFirst="0" w:colLast="0" w:name="_kabbakvjmfg" w:id="10"/>
      <w:bookmarkEnd w:id="10"/>
      <w:r w:rsidDel="00000000" w:rsidR="00000000" w:rsidRPr="00000000">
        <w:rPr>
          <w:rtl w:val="0"/>
        </w:rPr>
        <w:t xml:space="preserve">Create, Update and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The admin can chose to create, change or delete work instructions for a product component in the creation / editing screen of that component. He / she does this by entering a caption and a description and optionally uploading (and possibly cropping) an image.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720" w:right="0" w:hanging="720"/>
        <w:contextualSpacing w:val="0"/>
        <w:jc w:val="both"/>
        <w:rPr/>
      </w:pPr>
      <w:bookmarkStart w:colFirst="0" w:colLast="0" w:name="_1kzzoj3ngg5t" w:id="11"/>
      <w:bookmarkEnd w:id="11"/>
      <w:r w:rsidDel="00000000" w:rsidR="00000000" w:rsidRPr="00000000">
        <w:rPr>
          <w:b w:val="1"/>
          <w:color w:val="b2b2b5"/>
          <w:rtl w:val="0"/>
        </w:rPr>
        <w:t xml:space="preserve">View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When a user is assembling and has the product assembly page open, he sees the work instruction for the step that describes his current action.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If the instruction is newly created or changed since a new product model version is created the UI will reflect this so the user notices the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6b020mx1s2ea" w:id="12"/>
      <w:bookmarkEnd w:id="12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b w:val="1"/>
          <w:rtl w:val="0"/>
        </w:rPr>
        <w:t xml:space="preserve">Exception:</w:t>
      </w:r>
      <w:r w:rsidDel="00000000" w:rsidR="00000000" w:rsidRPr="00000000">
        <w:rPr>
          <w:rtl w:val="0"/>
        </w:rPr>
        <w:t xml:space="preserve"> user tries to upload an image that is too large, either in file size or in pixel dimensions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4hgv6sr7jhxy" w:id="13"/>
      <w:bookmarkEnd w:id="13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The user is instructed on how to perform a component assembly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phyjwc42vbvd" w:id="14"/>
      <w:bookmarkEnd w:id="14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Ideally this should be done for each and every product model.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kzstalxz22zb" w:id="15"/>
      <w:bookmarkEnd w:id="1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rPr/>
      </w:pPr>
      <w:bookmarkStart w:colFirst="0" w:colLast="0" w:name="_noueoxtw2y8b" w:id="16"/>
      <w:bookmarkEnd w:id="16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 application is released the server will expect elevated credentials to be able to upload files to it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