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UC019: Cross Application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Legacy coding, Communications, Interfacing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66234" y="3780000"/>
                          <a:ext cx="5759532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rgbClr val="42443C"/>
                          </a:solidFill>
                          <a:prstDash val="solid"/>
                          <a:miter lim="8000"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-25399</wp:posOffset>
                </wp:positionH>
                <wp:positionV relativeFrom="paragraph">
                  <wp:posOffset>266700</wp:posOffset>
                </wp:positionV>
                <wp:extent cx="5753100" cy="12700"/>
                <wp:effectExtent b="0" l="0" r="0" t="0"/>
                <wp:wrapNone/>
                <wp:docPr id="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531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>
          <w:rFonts w:ascii="Ebrima" w:cs="Ebrima" w:eastAsia="Ebrima" w:hAnsi="Ebrima"/>
          <w:b w:val="1"/>
          <w:color w:val="ed7d31"/>
          <w:sz w:val="20"/>
          <w:szCs w:val="20"/>
        </w:rPr>
      </w:pPr>
      <w:r w:rsidDel="00000000" w:rsidR="00000000" w:rsidRPr="00000000">
        <w:rPr>
          <w:rtl w:val="0"/>
        </w:rPr>
        <w:t xml:space="preserve">Reference: </w:t>
        <w:tab/>
        <w:tab/>
      </w:r>
      <w:r w:rsidDel="00000000" w:rsidR="00000000" w:rsidRPr="00000000">
        <w:rPr>
          <w:color w:val="808080"/>
          <w:rtl w:val="0"/>
        </w:rPr>
        <w:t xml:space="preserve">[Subject]</w:t>
      </w:r>
      <w:r w:rsidDel="00000000" w:rsidR="00000000" w:rsidRPr="00000000">
        <w:rPr>
          <w:rFonts w:ascii="Ebrima" w:cs="Ebrima" w:eastAsia="Ebrima" w:hAnsi="Ebrima"/>
          <w:b w:val="1"/>
          <w:i w:val="1"/>
          <w:color w:val="ed7d3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Ebrima" w:cs="Ebrima" w:eastAsia="Ebrima" w:hAnsi="Ebrima"/>
          <w:b w:val="1"/>
          <w:color w:val="ed7d31"/>
          <w:sz w:val="20"/>
          <w:szCs w:val="20"/>
          <w:rtl w:val="0"/>
        </w:rPr>
        <w:t xml:space="preserve">Document reference to be filled by Quality department if needed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Edition/review: </w:t>
        <w:tab/>
        <w:tab/>
        <w:t xml:space="preserve">1/0</w:t>
      </w:r>
    </w:p>
    <w:p w:rsidR="00000000" w:rsidDel="00000000" w:rsidP="00000000" w:rsidRDefault="00000000" w:rsidRPr="00000000">
      <w:pPr>
        <w:spacing w:after="0"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Author(s):</w:t>
        <w:tab/>
        <w:tab/>
        <w:t xml:space="preserve">David Van Hoecke</w:t>
      </w:r>
    </w:p>
    <w:p w:rsidR="00000000" w:rsidDel="00000000" w:rsidP="00000000" w:rsidRDefault="00000000" w:rsidRPr="00000000">
      <w:pPr>
        <w:spacing w:line="276" w:lineRule="auto"/>
        <w:ind w:firstLine="0"/>
        <w:contextualSpacing w:val="0"/>
        <w:rPr/>
      </w:pPr>
      <w:r w:rsidDel="00000000" w:rsidR="00000000" w:rsidRPr="00000000">
        <w:rPr>
          <w:rtl w:val="0"/>
        </w:rPr>
        <w:t xml:space="preserve">Date:</w:t>
        <w:tab/>
        <w:tab/>
        <w:tab/>
      </w:r>
      <w:r w:rsidDel="00000000" w:rsidR="00000000" w:rsidRPr="00000000">
        <w:rPr>
          <w:color w:val="808080"/>
          <w:rtl w:val="0"/>
        </w:rPr>
        <w:t xml:space="preserve">16-03-2017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Changelog:</w:t>
      </w:r>
    </w:p>
    <w:tbl>
      <w:tblPr>
        <w:tblStyle w:val="Table1"/>
        <w:tblW w:w="906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51"/>
        <w:gridCol w:w="1151"/>
        <w:gridCol w:w="1152"/>
        <w:gridCol w:w="1684"/>
        <w:gridCol w:w="1685"/>
        <w:gridCol w:w="2239"/>
        <w:tblGridChange w:id="0">
          <w:tblGrid>
            <w:gridCol w:w="1151"/>
            <w:gridCol w:w="1151"/>
            <w:gridCol w:w="1152"/>
            <w:gridCol w:w="1684"/>
            <w:gridCol w:w="1685"/>
            <w:gridCol w:w="2239"/>
          </w:tblGrid>
        </w:tblGridChange>
      </w:tblGrid>
      <w:tr>
        <w:trPr>
          <w:trHeight w:val="560" w:hRule="atLeast"/>
        </w:trPr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Edition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Review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Writing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Validation</w:t>
            </w:r>
          </w:p>
        </w:tc>
        <w:tc>
          <w:tcPr>
            <w:shd w:fill="b2b2b5" w:val="clear"/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Comments</w:t>
            </w:r>
          </w:p>
        </w:tc>
      </w:tr>
      <w:tr>
        <w:trPr>
          <w:trHeight w:val="580" w:hRule="atLeast"/>
        </w:trP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20170316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DVH</w:t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Issuance of the document 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>
            <w:pPr>
              <w:ind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59" w:lineRule="auto"/>
        <w:ind w:left="432" w:right="0" w:hanging="432"/>
        <w:contextualSpacing w:val="0"/>
        <w:jc w:val="left"/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mata" w:cs="Armata" w:eastAsia="Armata" w:hAnsi="Armata"/>
          <w:b w:val="0"/>
          <w:i w:val="0"/>
          <w:smallCaps w:val="1"/>
          <w:strike w:val="0"/>
          <w:color w:val="ed7d31"/>
          <w:sz w:val="32"/>
          <w:szCs w:val="32"/>
          <w:u w:val="none"/>
          <w:shd w:fill="auto" w:val="clear"/>
          <w:vertAlign w:val="baseline"/>
          <w:rtl w:val="0"/>
        </w:rPr>
        <w:t xml:space="preserve">SUMMARY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right" w:pos="9071.511811023622"/>
            </w:tabs>
            <w:spacing w:before="80" w:line="240" w:lineRule="auto"/>
            <w:ind w:left="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30j0zll">
            <w:r w:rsidDel="00000000" w:rsidR="00000000" w:rsidRPr="00000000">
              <w:rPr>
                <w:rFonts w:ascii="Calibri" w:cs="Calibri" w:eastAsia="Calibri" w:hAnsi="Calibri"/>
                <w:b w:val="1"/>
                <w:color w:val="000000"/>
                <w:sz w:val="22"/>
                <w:szCs w:val="22"/>
                <w:rtl w:val="0"/>
              </w:rPr>
              <w:t xml:space="preserve">UC019: Cross Application Communications</w:t>
            </w:r>
          </w:hyperlink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b w:val="1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fn0610y1aui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Description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_fn0610y1auic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54nn6toaxe1c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Level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_54nn6toaxe1c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qa7ox917j8rv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Trigger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_qa7ox917j8rv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3057r7yyrl58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Primary Actor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_3057r7yyrl58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vwfbolffxrhl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Additional/Supporting Actors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_vwfbolffxrhl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21gsgbgxg2n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Stakeholders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_k21gsgbgxg2n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0e3iduensbd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Preconditions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_p0e3iduensbd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1wl4u8uzxwoe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Main Success Scenario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_1wl4u8uzxwoe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6b020mx1s2ea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Extensions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_6b020mx1s2ea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4hgv6sr7jhxy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Post Conditions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_4hgv6sr7jhxy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phyjwc42vbvd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Frequency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_phyjwc42vbvd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kzstalxz22z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Special Requirements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_kzstalxz22zb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tabs>
              <w:tab w:val="right" w:pos="9071.511811023622"/>
            </w:tabs>
            <w:spacing w:after="80" w:before="60" w:line="240" w:lineRule="auto"/>
            <w:ind w:left="360" w:firstLine="0"/>
            <w:contextualSpacing w:val="0"/>
            <w:rPr>
              <w:rFonts w:ascii="Calibri" w:cs="Calibri" w:eastAsia="Calibri" w:hAnsi="Calibri"/>
              <w:color w:val="000000"/>
              <w:sz w:val="22"/>
              <w:szCs w:val="22"/>
            </w:rPr>
          </w:pPr>
          <w:hyperlink w:anchor="_noueoxtw2y8b">
            <w:r w:rsidDel="00000000" w:rsidR="00000000" w:rsidRPr="00000000">
              <w:rPr>
                <w:rFonts w:ascii="Calibri" w:cs="Calibri" w:eastAsia="Calibri" w:hAnsi="Calibri"/>
                <w:color w:val="000000"/>
                <w:sz w:val="22"/>
                <w:szCs w:val="22"/>
                <w:rtl w:val="0"/>
              </w:rPr>
              <w:t xml:space="preserve">Issues and Next Steps</w:t>
            </w:r>
          </w:hyperlink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ab/>
          </w:r>
          <w:r w:rsidDel="00000000" w:rsidR="00000000" w:rsidRPr="00000000">
            <w:fldChar w:fldCharType="begin"/>
            <w:instrText xml:space="preserve"> PAGEREF _noueoxtw2y8b \h </w:instrText>
            <w:fldChar w:fldCharType="separate"/>
          </w:r>
          <w:r w:rsidDel="00000000" w:rsidR="00000000" w:rsidRPr="00000000">
            <w:rPr>
              <w:rFonts w:ascii="Calibri" w:cs="Calibri" w:eastAsia="Calibri" w:hAnsi="Calibri"/>
              <w:color w:val="000000"/>
              <w:sz w:val="22"/>
              <w:szCs w:val="2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1758"/>
        </w:tabs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0"/>
        <w:contextualSpacing w:val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rPr/>
      </w:pPr>
      <w:r w:rsidDel="00000000" w:rsidR="00000000" w:rsidRPr="00000000">
        <w:rPr>
          <w:color w:val="808080"/>
          <w:rtl w:val="0"/>
        </w:rPr>
        <w:t xml:space="preserve">UC019: Cross Application Communications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6"/>
        </w:numPr>
        <w:ind w:left="432" w:hanging="432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UC019: Cross Application Communications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fn0610y1auic" w:id="2"/>
      <w:bookmarkEnd w:id="2"/>
      <w:r w:rsidDel="00000000" w:rsidR="00000000" w:rsidRPr="00000000">
        <w:rPr>
          <w:rtl w:val="0"/>
        </w:rPr>
        <w:t xml:space="preserve">Description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Since the application is web based it’s accessible over HTTP. Applications can send and receive data by making a POST or GET, respectively. Data passed between GTS and other apps will be in JSON and asynchronously, where possible.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54nn6toaxe1c" w:id="3"/>
      <w:bookmarkEnd w:id="3"/>
      <w:r w:rsidDel="00000000" w:rsidR="00000000" w:rsidRPr="00000000">
        <w:rPr>
          <w:rtl w:val="0"/>
        </w:rPr>
        <w:t xml:space="preserve">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Subfunction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qa7ox917j8rv" w:id="4"/>
      <w:bookmarkEnd w:id="4"/>
      <w:r w:rsidDel="00000000" w:rsidR="00000000" w:rsidRPr="00000000">
        <w:rPr>
          <w:rtl w:val="0"/>
        </w:rPr>
        <w:t xml:space="preserve">Trigger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External application based triggering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3057r7yyrl58" w:id="5"/>
      <w:bookmarkEnd w:id="5"/>
      <w:r w:rsidDel="00000000" w:rsidR="00000000" w:rsidRPr="00000000">
        <w:rPr>
          <w:rtl w:val="0"/>
        </w:rPr>
        <w:t xml:space="preserve">Primary Actor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can be any type of application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vwfbolffxrhl" w:id="6"/>
      <w:bookmarkEnd w:id="6"/>
      <w:r w:rsidDel="00000000" w:rsidR="00000000" w:rsidRPr="00000000">
        <w:rPr>
          <w:rtl w:val="0"/>
        </w:rPr>
        <w:t xml:space="preserve">Additional/Supporting Actors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k21gsgbgxg2n" w:id="7"/>
      <w:bookmarkEnd w:id="7"/>
      <w:r w:rsidDel="00000000" w:rsidR="00000000" w:rsidRPr="00000000">
        <w:rPr>
          <w:rtl w:val="0"/>
        </w:rPr>
        <w:t xml:space="preserve">Stakeholders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contextualSpacing w:val="1"/>
        <w:jc w:val="left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Production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120" w:line="240" w:lineRule="auto"/>
        <w:ind w:left="72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Operations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p0e3iduensbd" w:id="8"/>
      <w:bookmarkEnd w:id="8"/>
      <w:r w:rsidDel="00000000" w:rsidR="00000000" w:rsidRPr="00000000">
        <w:rPr>
          <w:rtl w:val="0"/>
        </w:rPr>
        <w:t xml:space="preserve">Preconditions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Primary Actor must have use of a workstation with an active internet connection or at least an internal access to the application. The workstation will have a browser window open, pointing to the site.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1wl4u8uzxwoe" w:id="9"/>
      <w:bookmarkEnd w:id="9"/>
      <w:r w:rsidDel="00000000" w:rsidR="00000000" w:rsidRPr="00000000">
        <w:rPr>
          <w:rtl w:val="0"/>
        </w:rPr>
        <w:t xml:space="preserve">Main Success Scenario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external application sent data to GTS and received a status “ok” response in return. Such as: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generated reports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data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alerts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burn-in test data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external application requests data from GTS and receives it.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6b020mx1s2ea" w:id="10"/>
      <w:bookmarkEnd w:id="10"/>
      <w:r w:rsidDel="00000000" w:rsidR="00000000" w:rsidRPr="00000000">
        <w:rPr>
          <w:rtl w:val="0"/>
        </w:rPr>
        <w:t xml:space="preserve">Extensions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b w:val="1"/>
          <w:rtl w:val="0"/>
        </w:rPr>
        <w:t xml:space="preserve">Exception:</w:t>
      </w:r>
      <w:r w:rsidDel="00000000" w:rsidR="00000000" w:rsidRPr="00000000">
        <w:rPr>
          <w:rtl w:val="0"/>
        </w:rPr>
        <w:t xml:space="preserve"> Something went wrong during a POST or GET and the calling application receives a status “500 Internal Server Error”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4hgv6sr7jhxy" w:id="11"/>
      <w:bookmarkEnd w:id="11"/>
      <w:r w:rsidDel="00000000" w:rsidR="00000000" w:rsidRPr="00000000">
        <w:rPr>
          <w:rtl w:val="0"/>
        </w:rPr>
        <w:t xml:space="preserve">Post Conditions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Success End Condition</w:t>
      </w:r>
    </w:p>
    <w:p w:rsidR="00000000" w:rsidDel="00000000" w:rsidP="00000000" w:rsidRDefault="00000000" w:rsidRPr="00000000">
      <w:pPr>
        <w:numPr>
          <w:ilvl w:val="1"/>
          <w:numId w:val="3"/>
        </w:numPr>
        <w:ind w:left="144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The requested or posted data contains all information needed and the application processes it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phyjwc42vbvd" w:id="12"/>
      <w:bookmarkEnd w:id="12"/>
      <w:r w:rsidDel="00000000" w:rsidR="00000000" w:rsidRPr="00000000">
        <w:rPr>
          <w:rtl w:val="0"/>
        </w:rPr>
        <w:t xml:space="preserve">Frequency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will occur regularly, most of these cross talk actions would be in the form of reports</w:t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kzstalxz22zb" w:id="13"/>
      <w:bookmarkEnd w:id="13"/>
      <w:r w:rsidDel="00000000" w:rsidR="00000000" w:rsidRPr="00000000">
        <w:rPr>
          <w:rtl w:val="0"/>
        </w:rPr>
        <w:t xml:space="preserve">Special Requirements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Performance: </w:t>
        <w:tab/>
        <w:br w:type="textWrapping"/>
        <w:t xml:space="preserve">Timeout values will be set so the user receives “a resource unavailable” message if this occurs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Security</w:t>
        <w:br w:type="textWrapping"/>
        <w:t xml:space="preserve">Only administrators have access to this page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Usability / Accessibility</w:t>
        <w:br w:type="textWrapping"/>
        <w:t xml:space="preserve">User must be able to view page in English, French and Spanish.</w:t>
        <w:br w:type="textWrapping"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b w:val="0"/>
          <w:color w:val="42443c"/>
        </w:rPr>
      </w:pPr>
      <w:r w:rsidDel="00000000" w:rsidR="00000000" w:rsidRPr="00000000">
        <w:rPr>
          <w:rtl w:val="0"/>
        </w:rPr>
        <w:t xml:space="preserve">Other</w:t>
        <w:br w:type="textWrapping"/>
        <w:t xml:space="preserve">The UI must be able to be used over a range of platforms: PC, laptop, tablet, smart phone…</w:t>
        <w:br w:type="textWrapping"/>
      </w:r>
    </w:p>
    <w:p w:rsidR="00000000" w:rsidDel="00000000" w:rsidP="00000000" w:rsidRDefault="00000000" w:rsidRPr="00000000">
      <w:pPr>
        <w:pStyle w:val="Heading2"/>
        <w:numPr>
          <w:ilvl w:val="1"/>
          <w:numId w:val="6"/>
        </w:numPr>
        <w:rPr/>
      </w:pPr>
      <w:bookmarkStart w:colFirst="0" w:colLast="0" w:name="_noueoxtw2y8b" w:id="14"/>
      <w:bookmarkEnd w:id="14"/>
      <w:r w:rsidDel="00000000" w:rsidR="00000000" w:rsidRPr="00000000">
        <w:rPr>
          <w:rtl w:val="0"/>
        </w:rPr>
        <w:t xml:space="preserve">Issues and Next Steps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None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417" w:top="1417" w:left="1417" w:right="1417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Calibri"/>
  <w:font w:name="Arial"/>
  <w:font w:name="Ebrima"/>
  <w:font w:name="Armata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ind w:firstLine="0"/>
      <w:contextualSpacing w:val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360" w:firstLine="0"/>
      <w:contextualSpacing w:val="0"/>
      <w:jc w:val="center"/>
      <w:rPr>
        <w:rFonts w:ascii="Ebrima" w:cs="Ebrima" w:eastAsia="Ebrima" w:hAnsi="Ebrima"/>
        <w:b w:val="1"/>
        <w:i w:val="0"/>
        <w:smallCaps w:val="0"/>
        <w:strike w:val="0"/>
        <w:color w:val="538135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Delair-Tech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676, Rue Max Planck – 31670 Toulouse-Labège, France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</w:t>
    </w: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Tel: +33 (0) 5 82 95 44 06 </w:t>
    </w:r>
    <w:r w:rsidDel="00000000" w:rsidR="00000000" w:rsidRPr="00000000">
      <w:rPr>
        <w:rFonts w:ascii="Ebrima" w:cs="Ebrima" w:eastAsia="Ebrima" w:hAnsi="Ebrima"/>
        <w:b w:val="1"/>
        <w:i w:val="0"/>
        <w:smallCaps w:val="0"/>
        <w:strike w:val="0"/>
        <w:color w:val="ed7d31"/>
        <w:sz w:val="16"/>
        <w:szCs w:val="16"/>
        <w:u w:val="none"/>
        <w:shd w:fill="auto" w:val="clear"/>
        <w:vertAlign w:val="baseline"/>
        <w:rtl w:val="0"/>
      </w:rPr>
      <w:t xml:space="preserve">| www.delair-tech.com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contextualSpacing w:val="0"/>
      <w:jc w:val="both"/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16"/>
        <w:szCs w:val="16"/>
        <w:u w:val="none"/>
        <w:shd w:fill="auto" w:val="clear"/>
        <w:vertAlign w:val="baseline"/>
        <w:rtl w:val="0"/>
      </w:rPr>
      <w:t xml:space="preserve">     Capital: 212 597.90 € - APE: 3030Z – Intra-Community VAT number: FR90 53 09 69 781 – 530 969 781 R.C.S. Toulouse</w:t>
    </w:r>
  </w:p>
  <w:p w:rsidR="00000000" w:rsidDel="00000000" w:rsidP="00000000" w:rsidRDefault="00000000" w:rsidRPr="00000000">
    <w:pPr>
      <w:spacing w:after="0" w:lineRule="auto"/>
      <w:ind w:left="-426" w:firstLine="0"/>
      <w:contextualSpacing w:val="0"/>
      <w:rPr>
        <w:i w:val="1"/>
        <w:color w:val="000000"/>
        <w:sz w:val="14"/>
        <w:szCs w:val="14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spacing w:after="880" w:lineRule="auto"/>
      <w:ind w:left="-426" w:right="-567" w:firstLine="0"/>
      <w:contextualSpacing w:val="0"/>
      <w:jc w:val="center"/>
      <w:rPr>
        <w:sz w:val="16"/>
        <w:szCs w:val="16"/>
      </w:rPr>
    </w:pPr>
    <w:r w:rsidDel="00000000" w:rsidR="00000000" w:rsidRPr="00000000">
      <w:rPr>
        <w:i w:val="1"/>
        <w:color w:val="000000"/>
        <w:sz w:val="16"/>
        <w:szCs w:val="16"/>
        <w:highlight w:val="white"/>
        <w:rtl w:val="0"/>
      </w:rPr>
      <w:t xml:space="preserve">This document is the sole property of Delair-Tech and cannot be used or reproduced without the written authorization of Delair-Tech.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72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  <w:drawing>
        <wp:inline distB="0" distT="0" distL="0" distR="0">
          <wp:extent cx="1511917" cy="604800"/>
          <wp:effectExtent b="0" l="0" r="0" 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1917" cy="604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357"/>
      <w:contextualSpacing w:val="0"/>
      <w:jc w:val="right"/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Ebrima" w:cs="Ebrima" w:eastAsia="Ebrima" w:hAnsi="Ebrima"/>
        <w:b w:val="0"/>
        <w:i w:val="0"/>
        <w:smallCaps w:val="0"/>
        <w:strike w:val="0"/>
        <w:color w:val="42443c"/>
        <w:sz w:val="20"/>
        <w:szCs w:val="20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4" w:lineRule="auto"/>
        <w:ind w:left="0" w:right="0" w:firstLine="357"/>
        <w:contextualSpacing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432" w:right="0" w:hanging="432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576" w:right="0" w:hanging="576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ee7730"/>
      <w:sz w:val="20"/>
      <w:szCs w:val="20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120" w:line="254" w:lineRule="auto"/>
      <w:ind w:left="720" w:right="0" w:hanging="720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b2b2b5"/>
      <w:sz w:val="20"/>
      <w:szCs w:val="20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864" w:right="0" w:hanging="864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1008" w:right="0" w:hanging="1008"/>
      <w:contextualSpacing w:val="0"/>
      <w:jc w:val="both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120" w:line="254" w:lineRule="auto"/>
      <w:ind w:left="0" w:right="0" w:firstLine="0"/>
      <w:contextualSpacing w:val="0"/>
      <w:jc w:val="left"/>
    </w:pPr>
    <w:rPr>
      <w:rFonts w:ascii="Ebrima" w:cs="Ebrima" w:eastAsia="Ebrima" w:hAnsi="Ebrima"/>
      <w:b w:val="1"/>
      <w:i w:val="0"/>
      <w:smallCaps w:val="0"/>
      <w:strike w:val="0"/>
      <w:color w:val="42443c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0" w:line="240" w:lineRule="auto"/>
      <w:ind w:left="0" w:right="0" w:firstLine="0"/>
      <w:contextualSpacing w:val="0"/>
      <w:jc w:val="both"/>
    </w:pPr>
    <w:rPr>
      <w:rFonts w:ascii="Ebrima" w:cs="Ebrima" w:eastAsia="Ebrima" w:hAnsi="Ebrima"/>
      <w:b w:val="0"/>
      <w:i w:val="0"/>
      <w:smallCaps w:val="1"/>
      <w:strike w:val="0"/>
      <w:color w:val="42443c"/>
      <w:sz w:val="40"/>
      <w:szCs w:val="40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76" w:lineRule="auto"/>
    </w:pPr>
    <w:rPr>
      <w:rFonts w:ascii="Calibri" w:cs="Calibri" w:eastAsia="Calibri" w:hAnsi="Calibri"/>
      <w:sz w:val="21"/>
      <w:szCs w:val="21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mata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