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5F6C7B"/>
          <w:sz w:val="20"/>
        </w:rPr>
        <w:t>ONE-WEEK EQUAL-SPEND TEST</w:t>
      </w:r>
    </w:p>
    <w:p>
      <w:pPr>
        <w:spacing w:after="120"/>
        <w:jc w:val="center"/>
      </w:pPr>
      <w:r>
        <w:rPr>
          <w:rFonts w:ascii="Aptos Display" w:hAnsi="Aptos Display"/>
          <w:b/>
          <w:color w:val="20364F"/>
          <w:sz w:val="48"/>
        </w:rPr>
        <w:t>Marketing Campaign Analysis Report</w:t>
      </w:r>
    </w:p>
    <w:p>
      <w:pPr>
        <w:spacing w:after="280"/>
        <w:jc w:val="center"/>
      </w:pPr>
      <w:r>
        <w:rPr>
          <w:rFonts w:ascii="Aptos" w:hAnsi="Aptos"/>
          <w:color w:val="5F6C7B"/>
          <w:sz w:val="22"/>
        </w:rPr>
        <w:t>Recommendation for the strongest campaign and channel investment under equal weekly spend</w:t>
      </w:r>
    </w:p>
    <w:p>
      <w:pPr>
        <w:spacing w:after="240"/>
        <w:jc w:val="center"/>
      </w:pPr>
      <w:r>
        <w:drawing>
          <wp:inline xmlns:a="http://schemas.openxmlformats.org/drawingml/2006/main" xmlns:pic="http://schemas.openxmlformats.org/drawingml/2006/picture">
            <wp:extent cx="6217920" cy="2023055"/>
            <wp:docPr id="1" name="Picture 1"/>
            <wp:cNvGraphicFramePr>
              <a:graphicFrameLocks noChangeAspect="1"/>
            </wp:cNvGraphicFramePr>
            <a:graphic>
              <a:graphicData uri="http://schemas.openxmlformats.org/drawingml/2006/picture">
                <pic:pic>
                  <pic:nvPicPr>
                    <pic:cNvPr id="0" name="dashboard_hero_section.png"/>
                    <pic:cNvPicPr/>
                  </pic:nvPicPr>
                  <pic:blipFill>
                    <a:blip r:embed="rId11"/>
                    <a:stretch>
                      <a:fillRect/>
                    </a:stretch>
                  </pic:blipFill>
                  <pic:spPr>
                    <a:xfrm>
                      <a:off x="0" y="0"/>
                      <a:ext cx="6217920" cy="2023055"/>
                    </a:xfrm>
                    <a:prstGeom prst="rect"/>
                  </pic:spPr>
                </pic:pic>
              </a:graphicData>
            </a:graphic>
          </wp:inline>
        </w:drawing>
      </w:r>
    </w:p>
    <w:tbl>
      <w:tblPr>
        <w:tblW w:type="auto" w:w="0"/>
        <w:jc w:val="center"/>
        <w:tblLayout w:type="autofit"/>
        <w:tblLook w:firstColumn="1" w:firstRow="1" w:lastColumn="0" w:lastRow="0" w:noHBand="0" w:noVBand="1" w:val="04A0"/>
      </w:tblPr>
      <w:tblGrid>
        <w:gridCol w:w="9792"/>
      </w:tblGrid>
      <w:tr>
        <w:tc>
          <w:tcPr>
            <w:tcW w:type="dxa" w:w="9792"/>
            <w:shd w:fill="EEF5F3"/>
          </w:tcPr>
          <w:p>
            <w:r/>
            <w:r>
              <w:rPr>
                <w:rFonts w:ascii="Aptos Display" w:hAnsi="Aptos Display"/>
                <w:b/>
                <w:color w:val="20364F"/>
                <w:sz w:val="26"/>
              </w:rPr>
              <w:t>Primary Recommendation: B + Email</w:t>
            </w:r>
          </w:p>
          <w:p>
            <w:pPr>
              <w:spacing w:after="40"/>
            </w:pPr>
            <w:r>
              <w:rPr>
                <w:rFonts w:ascii="Aptos" w:hAnsi="Aptos"/>
                <w:color w:val="1D2A3A"/>
                <w:sz w:val="21"/>
              </w:rPr>
              <w:t>This option generated $533,036.65 in total weekly sales and remained the top performer among new customers.</w:t>
            </w:r>
          </w:p>
          <w:p>
            <w:pPr>
              <w:spacing w:after="40"/>
            </w:pPr>
            <w:r>
              <w:rPr>
                <w:rFonts w:ascii="Aptos" w:hAnsi="Aptos"/>
                <w:color w:val="1D2A3A"/>
                <w:sz w:val="21"/>
              </w:rPr>
              <w:t>Prepared on 2026-04-20 | Source: Marketing_Campaign_Data.csv</w:t>
            </w:r>
          </w:p>
        </w:tc>
      </w:tr>
    </w:tbl>
    <w:p>
      <w:r>
        <w:br w:type="page"/>
      </w:r>
    </w:p>
    <w:p>
      <w:pPr>
        <w:pStyle w:val="Heading1"/>
        <w:spacing w:before="200" w:after="80"/>
      </w:pPr>
      <w:r>
        <w:rPr>
          <w:rFonts w:ascii="Aptos Display" w:hAnsi="Aptos Display"/>
          <w:b/>
          <w:color w:val="20364F"/>
          <w:sz w:val="30"/>
        </w:rPr>
        <w:t>1. Executive Summary</w:t>
      </w:r>
    </w:p>
    <w:p>
      <w:pPr>
        <w:pStyle w:val="ListBullet"/>
        <w:spacing w:after="60"/>
      </w:pPr>
      <w:r>
        <w:rPr>
          <w:rFonts w:ascii="Aptos" w:hAnsi="Aptos"/>
          <w:color w:val="1D2A3A"/>
          <w:sz w:val="21"/>
        </w:rPr>
        <w:t>Decision basis: one-week controlled test with equal investment across all campaign-channel combinations, so realized sales is the primary selection metric.</w:t>
      </w:r>
    </w:p>
    <w:p>
      <w:pPr>
        <w:pStyle w:val="ListBullet"/>
        <w:spacing w:after="60"/>
      </w:pPr>
      <w:r>
        <w:rPr>
          <w:rFonts w:ascii="Aptos" w:hAnsi="Aptos"/>
          <w:color w:val="1D2A3A"/>
          <w:sz w:val="21"/>
        </w:rPr>
        <w:t>Top recommendation: B + Email generated $533,036.65 and outperformed the runner-up by $118,324.43.</w:t>
      </w:r>
    </w:p>
    <w:p>
      <w:pPr>
        <w:pStyle w:val="ListBullet"/>
        <w:spacing w:after="60"/>
      </w:pPr>
      <w:r>
        <w:rPr>
          <w:rFonts w:ascii="Aptos" w:hAnsi="Aptos"/>
          <w:color w:val="1D2A3A"/>
          <w:sz w:val="21"/>
        </w:rPr>
        <w:t>Risk check: the same combination also ranked first among new customers at $225,285.52, confirming both revenue and acquisition strength.</w:t>
      </w:r>
    </w:p>
    <w:p>
      <w:r>
        <w:br w:type="page"/>
      </w:r>
    </w:p>
    <w:p>
      <w:pPr>
        <w:pStyle w:val="Heading1"/>
        <w:spacing w:before="200" w:after="80"/>
      </w:pPr>
      <w:r>
        <w:rPr>
          <w:rFonts w:ascii="Aptos Display" w:hAnsi="Aptos Display"/>
          <w:b/>
          <w:color w:val="20364F"/>
          <w:sz w:val="30"/>
        </w:rPr>
        <w:t>2. Business Question and Method</w:t>
      </w:r>
    </w:p>
    <w:p>
      <w:pPr>
        <w:pStyle w:val="ListBullet"/>
        <w:spacing w:after="60"/>
      </w:pPr>
      <w:r>
        <w:rPr>
          <w:rFonts w:ascii="Aptos" w:hAnsi="Aptos"/>
          <w:color w:val="1D2A3A"/>
          <w:sz w:val="21"/>
        </w:rPr>
        <w:t>Campaign A uses a casual tone and Campaign B uses a sales-oriented tone.</w:t>
      </w:r>
    </w:p>
    <w:p>
      <w:pPr>
        <w:pStyle w:val="ListBullet"/>
        <w:spacing w:after="60"/>
      </w:pPr>
      <w:r>
        <w:rPr>
          <w:rFonts w:ascii="Aptos" w:hAnsi="Aptos"/>
          <w:color w:val="1D2A3A"/>
          <w:sz w:val="21"/>
        </w:rPr>
        <w:t>The dataset covers a one-week controlled test with equal investment across all campaign and channel combinations.</w:t>
      </w:r>
    </w:p>
    <w:p>
      <w:pPr>
        <w:pStyle w:val="ListBullet"/>
        <w:spacing w:after="60"/>
      </w:pPr>
      <w:r>
        <w:rPr>
          <w:rFonts w:ascii="Aptos" w:hAnsi="Aptos"/>
          <w:color w:val="1D2A3A"/>
          <w:sz w:val="21"/>
        </w:rPr>
        <w:t>The analysis compares results by campaign, channel, customer type, and campaign-channel combination.</w:t>
      </w:r>
    </w:p>
    <w:p>
      <w:pPr>
        <w:pStyle w:val="ListBullet"/>
        <w:spacing w:after="60"/>
      </w:pPr>
      <w:r>
        <w:rPr>
          <w:rFonts w:ascii="Aptos" w:hAnsi="Aptos"/>
          <w:color w:val="1D2A3A"/>
          <w:sz w:val="21"/>
        </w:rPr>
        <w:t>Statistical checks were used to verify whether the conversion-rate gap between Campaign A and Campaign B was decisive.</w:t>
      </w:r>
    </w:p>
    <w:p>
      <w:pPr>
        <w:spacing w:after="100" w:line="276" w:lineRule="auto"/>
      </w:pPr>
      <w:r>
        <w:rPr>
          <w:rFonts w:ascii="Aptos" w:hAnsi="Aptos"/>
          <w:color w:val="1D2A3A"/>
          <w:sz w:val="21"/>
        </w:rPr>
        <w:t>The analytical logic is straightforward: because every campaign-channel cell received the same investment during the one-week test period, the option with the strongest realized revenue is the best primary investment candidate. Conversion rate, sales per interaction, and customer-segment confirmation are used as secondary checks to validate whether the top option is commercially robust rather than an isolated spike.</w:t>
      </w:r>
    </w:p>
    <w:p>
      <w:pPr>
        <w:pStyle w:val="Heading1"/>
        <w:spacing w:before="200" w:after="80"/>
      </w:pPr>
      <w:r>
        <w:rPr>
          <w:rFonts w:ascii="Aptos Display" w:hAnsi="Aptos Display"/>
          <w:b/>
          <w:color w:val="20364F"/>
          <w:sz w:val="30"/>
        </w:rPr>
        <w:t>3. Dataset Overview</w:t>
      </w:r>
    </w:p>
    <w:tbl>
      <w:tblPr>
        <w:tblStyle w:val="TableGrid"/>
        <w:tblW w:type="auto" w:w="0"/>
        <w:jc w:val="center"/>
        <w:tblLook w:firstColumn="1" w:firstRow="1" w:lastColumn="0" w:lastRow="0" w:noHBand="0" w:noVBand="1" w:val="04A0"/>
      </w:tblPr>
      <w:tblGrid>
        <w:gridCol w:w="4896"/>
        <w:gridCol w:w="4896"/>
      </w:tblGrid>
      <w:tr>
        <w:tc>
          <w:tcPr>
            <w:tcW w:type="dxa" w:w="4896"/>
            <w:shd w:fill="20364F"/>
          </w:tcPr>
          <w:p>
            <w:pPr>
              <w:jc w:val="left"/>
            </w:pPr>
            <w:r>
              <w:rPr>
                <w:rFonts w:ascii="Aptos" w:hAnsi="Aptos"/>
                <w:b/>
                <w:color w:val="FFFFFF"/>
                <w:sz w:val="20"/>
              </w:rPr>
              <w:t>Metric</w:t>
            </w:r>
          </w:p>
        </w:tc>
        <w:tc>
          <w:tcPr>
            <w:tcW w:type="dxa" w:w="4896"/>
            <w:shd w:fill="20364F"/>
          </w:tcPr>
          <w:p>
            <w:pPr>
              <w:jc w:val="left"/>
            </w:pPr>
            <w:r>
              <w:rPr>
                <w:rFonts w:ascii="Aptos" w:hAnsi="Aptos"/>
                <w:b/>
                <w:color w:val="FFFFFF"/>
                <w:sz w:val="20"/>
              </w:rPr>
              <w:t>Value</w:t>
            </w:r>
          </w:p>
        </w:tc>
      </w:tr>
      <w:tr>
        <w:tc>
          <w:tcPr>
            <w:tcW w:type="dxa" w:w="4896"/>
            <w:shd w:fill="F8F5EF"/>
          </w:tcPr>
          <w:p>
            <w:pPr>
              <w:jc w:val="left"/>
            </w:pPr>
            <w:r>
              <w:rPr>
                <w:rFonts w:ascii="Aptos" w:hAnsi="Aptos"/>
                <w:b w:val="0"/>
                <w:color w:val="1D2A3A"/>
                <w:sz w:val="20"/>
              </w:rPr>
              <w:t>Rows</w:t>
            </w:r>
          </w:p>
        </w:tc>
        <w:tc>
          <w:tcPr>
            <w:tcW w:type="dxa" w:w="4896"/>
            <w:shd w:fill="F8F5EF"/>
          </w:tcPr>
          <w:p>
            <w:pPr>
              <w:jc w:val="left"/>
            </w:pPr>
            <w:r>
              <w:rPr>
                <w:rFonts w:ascii="Aptos" w:hAnsi="Aptos"/>
                <w:b w:val="0"/>
                <w:color w:val="1D2A3A"/>
                <w:sz w:val="20"/>
              </w:rPr>
              <w:t>100,000</w:t>
            </w:r>
          </w:p>
        </w:tc>
      </w:tr>
      <w:tr>
        <w:tc>
          <w:tcPr>
            <w:tcW w:type="dxa" w:w="4896"/>
          </w:tcPr>
          <w:p>
            <w:pPr>
              <w:jc w:val="left"/>
            </w:pPr>
            <w:r>
              <w:rPr>
                <w:rFonts w:ascii="Aptos" w:hAnsi="Aptos"/>
                <w:b w:val="0"/>
                <w:color w:val="1D2A3A"/>
                <w:sz w:val="20"/>
              </w:rPr>
              <w:t>Columns</w:t>
            </w:r>
          </w:p>
        </w:tc>
        <w:tc>
          <w:tcPr>
            <w:tcW w:type="dxa" w:w="4896"/>
          </w:tcPr>
          <w:p>
            <w:pPr>
              <w:jc w:val="left"/>
            </w:pPr>
            <w:r>
              <w:rPr>
                <w:rFonts w:ascii="Aptos" w:hAnsi="Aptos"/>
                <w:b w:val="0"/>
                <w:color w:val="1D2A3A"/>
                <w:sz w:val="20"/>
              </w:rPr>
              <w:t>7</w:t>
            </w:r>
          </w:p>
        </w:tc>
      </w:tr>
      <w:tr>
        <w:tc>
          <w:tcPr>
            <w:tcW w:type="dxa" w:w="4896"/>
            <w:shd w:fill="F8F5EF"/>
          </w:tcPr>
          <w:p>
            <w:pPr>
              <w:jc w:val="left"/>
            </w:pPr>
            <w:r>
              <w:rPr>
                <w:rFonts w:ascii="Aptos" w:hAnsi="Aptos"/>
                <w:b w:val="0"/>
                <w:color w:val="1D2A3A"/>
                <w:sz w:val="20"/>
              </w:rPr>
              <w:t>Missing values</w:t>
            </w:r>
          </w:p>
        </w:tc>
        <w:tc>
          <w:tcPr>
            <w:tcW w:type="dxa" w:w="4896"/>
            <w:shd w:fill="F8F5EF"/>
          </w:tcPr>
          <w:p>
            <w:pPr>
              <w:jc w:val="left"/>
            </w:pPr>
            <w:r>
              <w:rPr>
                <w:rFonts w:ascii="Aptos" w:hAnsi="Aptos"/>
                <w:b w:val="0"/>
                <w:color w:val="1D2A3A"/>
                <w:sz w:val="20"/>
              </w:rPr>
              <w:t>0</w:t>
            </w:r>
          </w:p>
        </w:tc>
      </w:tr>
      <w:tr>
        <w:tc>
          <w:tcPr>
            <w:tcW w:type="dxa" w:w="4896"/>
          </w:tcPr>
          <w:p>
            <w:pPr>
              <w:jc w:val="left"/>
            </w:pPr>
            <w:r>
              <w:rPr>
                <w:rFonts w:ascii="Aptos" w:hAnsi="Aptos"/>
                <w:b w:val="0"/>
                <w:color w:val="1D2A3A"/>
                <w:sz w:val="20"/>
              </w:rPr>
              <w:t>Duplicate interaction IDs</w:t>
            </w:r>
          </w:p>
        </w:tc>
        <w:tc>
          <w:tcPr>
            <w:tcW w:type="dxa" w:w="4896"/>
          </w:tcPr>
          <w:p>
            <w:pPr>
              <w:jc w:val="left"/>
            </w:pPr>
            <w:r>
              <w:rPr>
                <w:rFonts w:ascii="Aptos" w:hAnsi="Aptos"/>
                <w:b w:val="0"/>
                <w:color w:val="1D2A3A"/>
                <w:sz w:val="20"/>
              </w:rPr>
              <w:t>0</w:t>
            </w:r>
          </w:p>
        </w:tc>
      </w:tr>
      <w:tr>
        <w:tc>
          <w:tcPr>
            <w:tcW w:type="dxa" w:w="4896"/>
            <w:shd w:fill="F8F5EF"/>
          </w:tcPr>
          <w:p>
            <w:pPr>
              <w:jc w:val="left"/>
            </w:pPr>
            <w:r>
              <w:rPr>
                <w:rFonts w:ascii="Aptos" w:hAnsi="Aptos"/>
                <w:b w:val="0"/>
                <w:color w:val="1D2A3A"/>
                <w:sz w:val="20"/>
              </w:rPr>
              <w:t>Total observed sales</w:t>
            </w:r>
          </w:p>
        </w:tc>
        <w:tc>
          <w:tcPr>
            <w:tcW w:type="dxa" w:w="4896"/>
            <w:shd w:fill="F8F5EF"/>
          </w:tcPr>
          <w:p>
            <w:pPr>
              <w:jc w:val="left"/>
            </w:pPr>
            <w:r>
              <w:rPr>
                <w:rFonts w:ascii="Aptos" w:hAnsi="Aptos"/>
                <w:b w:val="0"/>
                <w:color w:val="1D2A3A"/>
                <w:sz w:val="20"/>
              </w:rPr>
              <w:t>$2,314,742.53</w:t>
            </w:r>
          </w:p>
        </w:tc>
      </w:tr>
      <w:tr>
        <w:tc>
          <w:tcPr>
            <w:tcW w:type="dxa" w:w="4896"/>
          </w:tcPr>
          <w:p>
            <w:pPr>
              <w:jc w:val="left"/>
            </w:pPr>
            <w:r>
              <w:rPr>
                <w:rFonts w:ascii="Aptos" w:hAnsi="Aptos"/>
                <w:b w:val="0"/>
                <w:color w:val="1D2A3A"/>
                <w:sz w:val="20"/>
              </w:rPr>
              <w:t>New-customer share</w:t>
            </w:r>
          </w:p>
        </w:tc>
        <w:tc>
          <w:tcPr>
            <w:tcW w:type="dxa" w:w="4896"/>
          </w:tcPr>
          <w:p>
            <w:pPr>
              <w:jc w:val="left"/>
            </w:pPr>
            <w:r>
              <w:rPr>
                <w:rFonts w:ascii="Aptos" w:hAnsi="Aptos"/>
                <w:b w:val="0"/>
                <w:color w:val="1D2A3A"/>
                <w:sz w:val="20"/>
              </w:rPr>
              <w:t>42.60%</w:t>
            </w:r>
          </w:p>
        </w:tc>
      </w:tr>
      <w:tr>
        <w:tc>
          <w:tcPr>
            <w:tcW w:type="dxa" w:w="4896"/>
            <w:shd w:fill="F8F5EF"/>
          </w:tcPr>
          <w:p>
            <w:pPr>
              <w:jc w:val="left"/>
            </w:pPr>
            <w:r>
              <w:rPr>
                <w:rFonts w:ascii="Aptos" w:hAnsi="Aptos"/>
                <w:b w:val="0"/>
                <w:color w:val="1D2A3A"/>
                <w:sz w:val="20"/>
              </w:rPr>
              <w:t>Average time on site</w:t>
            </w:r>
          </w:p>
        </w:tc>
        <w:tc>
          <w:tcPr>
            <w:tcW w:type="dxa" w:w="4896"/>
            <w:shd w:fill="F8F5EF"/>
          </w:tcPr>
          <w:p>
            <w:pPr>
              <w:jc w:val="left"/>
            </w:pPr>
            <w:r>
              <w:rPr>
                <w:rFonts w:ascii="Aptos" w:hAnsi="Aptos"/>
                <w:b w:val="0"/>
                <w:color w:val="1D2A3A"/>
                <w:sz w:val="20"/>
              </w:rPr>
              <w:t>134.57 seconds</w:t>
            </w:r>
          </w:p>
        </w:tc>
      </w:tr>
    </w:tbl>
    <w:p>
      <w:pPr>
        <w:spacing w:after="100" w:line="276" w:lineRule="auto"/>
      </w:pPr>
      <w:r>
        <w:rPr>
          <w:rFonts w:ascii="Aptos" w:hAnsi="Aptos"/>
          <w:color w:val="1D2A3A"/>
          <w:sz w:val="21"/>
        </w:rPr>
        <w:t>The dataset is analytically usable without remediation. There are no missing values and no duplicate interaction identifiers, which means the recommendation is not being driven by obvious data-quality distortions. The file therefore supports direct comparative analysis across campaigns, channels, and customer segments.</w:t>
      </w:r>
    </w:p>
    <w:p>
      <w:pPr>
        <w:pStyle w:val="Heading1"/>
        <w:spacing w:before="200" w:after="80"/>
      </w:pPr>
      <w:r>
        <w:rPr>
          <w:rFonts w:ascii="Aptos Display" w:hAnsi="Aptos Display"/>
          <w:b/>
          <w:color w:val="20364F"/>
          <w:sz w:val="30"/>
        </w:rPr>
        <w:t>4. Customer Segment Analysis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20364F"/>
          </w:tcPr>
          <w:p>
            <w:pPr>
              <w:jc w:val="left"/>
            </w:pPr>
            <w:r>
              <w:rPr>
                <w:rFonts w:ascii="Aptos" w:hAnsi="Aptos"/>
                <w:b/>
                <w:color w:val="FFFFFF"/>
                <w:sz w:val="20"/>
              </w:rPr>
              <w:t>Customer Type</w:t>
            </w:r>
          </w:p>
        </w:tc>
        <w:tc>
          <w:tcPr>
            <w:tcW w:type="dxa" w:w="1632"/>
            <w:shd w:fill="20364F"/>
          </w:tcPr>
          <w:p>
            <w:pPr>
              <w:jc w:val="left"/>
            </w:pPr>
            <w:r>
              <w:rPr>
                <w:rFonts w:ascii="Aptos" w:hAnsi="Aptos"/>
                <w:b/>
                <w:color w:val="FFFFFF"/>
                <w:sz w:val="20"/>
              </w:rPr>
              <w:t>Interactions</w:t>
            </w:r>
          </w:p>
        </w:tc>
        <w:tc>
          <w:tcPr>
            <w:tcW w:type="dxa" w:w="1632"/>
            <w:shd w:fill="20364F"/>
          </w:tcPr>
          <w:p>
            <w:pPr>
              <w:jc w:val="left"/>
            </w:pPr>
            <w:r>
              <w:rPr>
                <w:rFonts w:ascii="Aptos" w:hAnsi="Aptos"/>
                <w:b/>
                <w:color w:val="FFFFFF"/>
                <w:sz w:val="20"/>
              </w:rPr>
              <w:t>Conversion</w:t>
            </w:r>
          </w:p>
        </w:tc>
        <w:tc>
          <w:tcPr>
            <w:tcW w:type="dxa" w:w="1632"/>
            <w:shd w:fill="20364F"/>
          </w:tcPr>
          <w:p>
            <w:pPr>
              <w:jc w:val="left"/>
            </w:pPr>
            <w:r>
              <w:rPr>
                <w:rFonts w:ascii="Aptos" w:hAnsi="Aptos"/>
                <w:b/>
                <w:color w:val="FFFFFF"/>
                <w:sz w:val="20"/>
              </w:rPr>
              <w:t>Total Sales</w:t>
            </w:r>
          </w:p>
        </w:tc>
        <w:tc>
          <w:tcPr>
            <w:tcW w:type="dxa" w:w="1632"/>
            <w:shd w:fill="20364F"/>
          </w:tcPr>
          <w:p>
            <w:pPr>
              <w:jc w:val="left"/>
            </w:pPr>
            <w:r>
              <w:rPr>
                <w:rFonts w:ascii="Aptos" w:hAnsi="Aptos"/>
                <w:b/>
                <w:color w:val="FFFFFF"/>
                <w:sz w:val="20"/>
              </w:rPr>
              <w:t>Sales / Lead</w:t>
            </w:r>
          </w:p>
        </w:tc>
        <w:tc>
          <w:tcPr>
            <w:tcW w:type="dxa" w:w="1632"/>
            <w:shd w:fill="20364F"/>
          </w:tcPr>
          <w:p>
            <w:pPr>
              <w:jc w:val="left"/>
            </w:pPr>
            <w:r>
              <w:rPr>
                <w:rFonts w:ascii="Aptos" w:hAnsi="Aptos"/>
                <w:b/>
                <w:color w:val="FFFFFF"/>
                <w:sz w:val="20"/>
              </w:rPr>
              <w:t>Avg. Time</w:t>
            </w:r>
          </w:p>
        </w:tc>
      </w:tr>
      <w:tr>
        <w:tc>
          <w:tcPr>
            <w:tcW w:type="dxa" w:w="1632"/>
            <w:shd w:fill="F8F5EF"/>
          </w:tcPr>
          <w:p>
            <w:pPr>
              <w:jc w:val="left"/>
            </w:pPr>
            <w:r>
              <w:rPr>
                <w:rFonts w:ascii="Aptos" w:hAnsi="Aptos"/>
                <w:b w:val="0"/>
                <w:color w:val="1D2A3A"/>
                <w:sz w:val="20"/>
              </w:rPr>
              <w:t>Existing</w:t>
            </w:r>
          </w:p>
        </w:tc>
        <w:tc>
          <w:tcPr>
            <w:tcW w:type="dxa" w:w="1632"/>
            <w:shd w:fill="F8F5EF"/>
          </w:tcPr>
          <w:p>
            <w:pPr>
              <w:jc w:val="left"/>
            </w:pPr>
            <w:r>
              <w:rPr>
                <w:rFonts w:ascii="Aptos" w:hAnsi="Aptos"/>
                <w:b w:val="0"/>
                <w:color w:val="1D2A3A"/>
                <w:sz w:val="20"/>
              </w:rPr>
              <w:t>57,403</w:t>
            </w:r>
          </w:p>
        </w:tc>
        <w:tc>
          <w:tcPr>
            <w:tcW w:type="dxa" w:w="1632"/>
            <w:shd w:fill="F8F5EF"/>
          </w:tcPr>
          <w:p>
            <w:pPr>
              <w:jc w:val="left"/>
            </w:pPr>
            <w:r>
              <w:rPr>
                <w:rFonts w:ascii="Aptos" w:hAnsi="Aptos"/>
                <w:b w:val="0"/>
                <w:color w:val="1D2A3A"/>
                <w:sz w:val="20"/>
              </w:rPr>
              <w:t>47.59%</w:t>
            </w:r>
          </w:p>
        </w:tc>
        <w:tc>
          <w:tcPr>
            <w:tcW w:type="dxa" w:w="1632"/>
            <w:shd w:fill="F8F5EF"/>
          </w:tcPr>
          <w:p>
            <w:pPr>
              <w:jc w:val="left"/>
            </w:pPr>
            <w:r>
              <w:rPr>
                <w:rFonts w:ascii="Aptos" w:hAnsi="Aptos"/>
                <w:b w:val="0"/>
                <w:color w:val="1D2A3A"/>
                <w:sz w:val="20"/>
              </w:rPr>
              <w:t>$1,326,214.03</w:t>
            </w:r>
          </w:p>
        </w:tc>
        <w:tc>
          <w:tcPr>
            <w:tcW w:type="dxa" w:w="1632"/>
            <w:shd w:fill="F8F5EF"/>
          </w:tcPr>
          <w:p>
            <w:pPr>
              <w:jc w:val="left"/>
            </w:pPr>
            <w:r>
              <w:rPr>
                <w:rFonts w:ascii="Aptos" w:hAnsi="Aptos"/>
                <w:b w:val="0"/>
                <w:color w:val="1D2A3A"/>
                <w:sz w:val="20"/>
              </w:rPr>
              <w:t>$23.10</w:t>
            </w:r>
          </w:p>
        </w:tc>
        <w:tc>
          <w:tcPr>
            <w:tcW w:type="dxa" w:w="1632"/>
            <w:shd w:fill="F8F5EF"/>
          </w:tcPr>
          <w:p>
            <w:pPr>
              <w:jc w:val="left"/>
            </w:pPr>
            <w:r>
              <w:rPr>
                <w:rFonts w:ascii="Aptos" w:hAnsi="Aptos"/>
                <w:b w:val="0"/>
                <w:color w:val="1D2A3A"/>
                <w:sz w:val="20"/>
              </w:rPr>
              <w:t>134.42 sec</w:t>
            </w:r>
          </w:p>
        </w:tc>
      </w:tr>
      <w:tr>
        <w:tc>
          <w:tcPr>
            <w:tcW w:type="dxa" w:w="1632"/>
          </w:tcPr>
          <w:p>
            <w:pPr>
              <w:jc w:val="left"/>
            </w:pPr>
            <w:r>
              <w:rPr>
                <w:rFonts w:ascii="Aptos" w:hAnsi="Aptos"/>
                <w:b w:val="0"/>
                <w:color w:val="1D2A3A"/>
                <w:sz w:val="20"/>
              </w:rPr>
              <w:t>New</w:t>
            </w:r>
          </w:p>
        </w:tc>
        <w:tc>
          <w:tcPr>
            <w:tcW w:type="dxa" w:w="1632"/>
          </w:tcPr>
          <w:p>
            <w:pPr>
              <w:jc w:val="left"/>
            </w:pPr>
            <w:r>
              <w:rPr>
                <w:rFonts w:ascii="Aptos" w:hAnsi="Aptos"/>
                <w:b w:val="0"/>
                <w:color w:val="1D2A3A"/>
                <w:sz w:val="20"/>
              </w:rPr>
              <w:t>42,597</w:t>
            </w:r>
          </w:p>
        </w:tc>
        <w:tc>
          <w:tcPr>
            <w:tcW w:type="dxa" w:w="1632"/>
          </w:tcPr>
          <w:p>
            <w:pPr>
              <w:jc w:val="left"/>
            </w:pPr>
            <w:r>
              <w:rPr>
                <w:rFonts w:ascii="Aptos" w:hAnsi="Aptos"/>
                <w:b w:val="0"/>
                <w:color w:val="1D2A3A"/>
                <w:sz w:val="20"/>
              </w:rPr>
              <w:t>47.86%</w:t>
            </w:r>
          </w:p>
        </w:tc>
        <w:tc>
          <w:tcPr>
            <w:tcW w:type="dxa" w:w="1632"/>
          </w:tcPr>
          <w:p>
            <w:pPr>
              <w:jc w:val="left"/>
            </w:pPr>
            <w:r>
              <w:rPr>
                <w:rFonts w:ascii="Aptos" w:hAnsi="Aptos"/>
                <w:b w:val="0"/>
                <w:color w:val="1D2A3A"/>
                <w:sz w:val="20"/>
              </w:rPr>
              <w:t>$988,528.51</w:t>
            </w:r>
          </w:p>
        </w:tc>
        <w:tc>
          <w:tcPr>
            <w:tcW w:type="dxa" w:w="1632"/>
          </w:tcPr>
          <w:p>
            <w:pPr>
              <w:jc w:val="left"/>
            </w:pPr>
            <w:r>
              <w:rPr>
                <w:rFonts w:ascii="Aptos" w:hAnsi="Aptos"/>
                <w:b w:val="0"/>
                <w:color w:val="1D2A3A"/>
                <w:sz w:val="20"/>
              </w:rPr>
              <w:t>$23.21</w:t>
            </w:r>
          </w:p>
        </w:tc>
        <w:tc>
          <w:tcPr>
            <w:tcW w:type="dxa" w:w="1632"/>
          </w:tcPr>
          <w:p>
            <w:pPr>
              <w:jc w:val="left"/>
            </w:pPr>
            <w:r>
              <w:rPr>
                <w:rFonts w:ascii="Aptos" w:hAnsi="Aptos"/>
                <w:b w:val="0"/>
                <w:color w:val="1D2A3A"/>
                <w:sz w:val="20"/>
              </w:rPr>
              <w:t>134.76 sec</w:t>
            </w:r>
          </w:p>
        </w:tc>
      </w:tr>
    </w:tbl>
    <w:p>
      <w:pPr>
        <w:spacing w:after="100" w:line="276" w:lineRule="auto"/>
      </w:pPr>
      <w:r>
        <w:rPr>
          <w:rFonts w:ascii="Aptos" w:hAnsi="Aptos"/>
          <w:color w:val="1D2A3A"/>
          <w:sz w:val="21"/>
        </w:rPr>
        <w:t>Customer performance is balanced across existing and new audiences, with new customers showing slightly higher conversion and revenue per interaction. This matters because it means the final recommendation is not only a retention-friendly choice. It also supports acquisition growth, which strengthens the business case for scaling the recommendation into the next budget cycle.</w:t>
      </w:r>
    </w:p>
    <w:p>
      <w:pPr>
        <w:pStyle w:val="Heading1"/>
        <w:spacing w:before="200" w:after="80"/>
      </w:pPr>
      <w:r>
        <w:rPr>
          <w:rFonts w:ascii="Aptos Display" w:hAnsi="Aptos Display"/>
          <w:b/>
          <w:color w:val="20364F"/>
          <w:sz w:val="30"/>
        </w:rPr>
        <w:t>5. Key Findings</w:t>
      </w:r>
    </w:p>
    <w:p>
      <w:pPr>
        <w:pStyle w:val="ListBullet"/>
        <w:spacing w:after="60"/>
      </w:pPr>
      <w:r>
        <w:rPr>
          <w:rFonts w:ascii="Aptos" w:hAnsi="Aptos"/>
          <w:color w:val="1D2A3A"/>
          <w:sz w:val="21"/>
        </w:rPr>
        <w:t>Email was the highest-revenue channel overall at $947,748.87.</w:t>
      </w:r>
    </w:p>
    <w:p>
      <w:pPr>
        <w:pStyle w:val="ListBullet"/>
        <w:spacing w:after="60"/>
      </w:pPr>
      <w:r>
        <w:rPr>
          <w:rFonts w:ascii="Aptos" w:hAnsi="Aptos"/>
          <w:color w:val="1D2A3A"/>
          <w:sz w:val="21"/>
        </w:rPr>
        <w:t>Email also led the new-customer view at $402,652.49, confirming acquisition strength.</w:t>
      </w:r>
    </w:p>
    <w:p>
      <w:pPr>
        <w:pStyle w:val="ListBullet"/>
        <w:spacing w:after="60"/>
      </w:pPr>
      <w:r>
        <w:rPr>
          <w:rFonts w:ascii="Aptos" w:hAnsi="Aptos"/>
          <w:color w:val="1D2A3A"/>
          <w:sz w:val="21"/>
        </w:rPr>
        <w:t>Instagram was the most efficient new-customer channel at $23.46 per interaction, but it did not surpass Email on scale.</w:t>
      </w:r>
    </w:p>
    <w:p>
      <w:pPr>
        <w:pStyle w:val="ListBullet"/>
        <w:spacing w:after="60"/>
      </w:pPr>
      <w:r>
        <w:rPr>
          <w:rFonts w:ascii="Aptos" w:hAnsi="Aptos"/>
          <w:color w:val="1D2A3A"/>
          <w:sz w:val="21"/>
        </w:rPr>
        <w:t>Campaign B produced more revenue than Campaign A overall, but the conversion-rate difference was not statistically decisive (p = 0.965).</w:t>
      </w:r>
    </w:p>
    <w:p>
      <w:pPr>
        <w:pStyle w:val="ListBullet"/>
        <w:spacing w:after="60"/>
      </w:pPr>
      <w:r>
        <w:rPr>
          <w:rFonts w:ascii="Aptos" w:hAnsi="Aptos"/>
          <w:color w:val="1D2A3A"/>
          <w:sz w:val="21"/>
        </w:rPr>
        <w:t>The new-customer conversion gap was also not decisive (p = 0.384), which means the winning recommendation is driven by revenue volume rather than a clear conversion-rate lift.</w:t>
      </w:r>
    </w:p>
    <w:p>
      <w:pPr>
        <w:jc w:val="center"/>
      </w:pPr>
      <w:r>
        <w:drawing>
          <wp:inline xmlns:a="http://schemas.openxmlformats.org/drawingml/2006/main" xmlns:pic="http://schemas.openxmlformats.org/drawingml/2006/picture">
            <wp:extent cx="5669280" cy="3672503"/>
            <wp:docPr id="2" name="Picture 2"/>
            <wp:cNvGraphicFramePr>
              <a:graphicFrameLocks noChangeAspect="1"/>
            </wp:cNvGraphicFramePr>
            <a:graphic>
              <a:graphicData uri="http://schemas.openxmlformats.org/drawingml/2006/picture">
                <pic:pic>
                  <pic:nvPicPr>
                    <pic:cNvPr id="0" name="dashboard_overall_revenue_panel.png"/>
                    <pic:cNvPicPr/>
                  </pic:nvPicPr>
                  <pic:blipFill>
                    <a:blip r:embed="rId12"/>
                    <a:stretch>
                      <a:fillRect/>
                    </a:stretch>
                  </pic:blipFill>
                  <pic:spPr>
                    <a:xfrm>
                      <a:off x="0" y="0"/>
                      <a:ext cx="5669280" cy="3672503"/>
                    </a:xfrm>
                    <a:prstGeom prst="rect"/>
                  </pic:spPr>
                </pic:pic>
              </a:graphicData>
            </a:graphic>
          </wp:inline>
        </w:drawing>
      </w:r>
    </w:p>
    <w:p>
      <w:pPr>
        <w:jc w:val="center"/>
      </w:pPr>
      <w:r>
        <w:rPr>
          <w:rFonts w:ascii="Aptos" w:hAnsi="Aptos"/>
          <w:color w:val="5F6C7B"/>
          <w:sz w:val="18"/>
        </w:rPr>
        <w:t>Figure 1. Campaign B + Email leads the portfolio on total weekly revenue under equal spend.</w:t>
      </w:r>
    </w:p>
    <w:p>
      <w:pPr>
        <w:spacing w:after="100" w:line="276" w:lineRule="auto"/>
      </w:pPr>
      <w:r>
        <w:rPr>
          <w:rFonts w:ascii="Aptos" w:hAnsi="Aptos"/>
          <w:color w:val="1D2A3A"/>
          <w:sz w:val="21"/>
        </w:rPr>
        <w:t>The strongest result in the portfolio is Campaign B delivered through Email. That combination wins because it pairs the highest scale with strong enough conversion quality to dominate total revenue. Under equal-spend conditions, that is the decisive business outcome. If investment is the same, the best option is the one that monetizes the traffic most effectively in absolute dollar terms.</w:t>
      </w:r>
    </w:p>
    <w:p>
      <w:pPr>
        <w:pStyle w:val="Heading1"/>
        <w:spacing w:before="200" w:after="80"/>
      </w:pPr>
      <w:r>
        <w:rPr>
          <w:rFonts w:ascii="Aptos Display" w:hAnsi="Aptos Display"/>
          <w:b/>
          <w:color w:val="20364F"/>
          <w:sz w:val="30"/>
        </w:rPr>
        <w:t>6. Channel Performance Summary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20364F"/>
          </w:tcPr>
          <w:p>
            <w:pPr>
              <w:jc w:val="left"/>
            </w:pPr>
            <w:r>
              <w:rPr>
                <w:rFonts w:ascii="Aptos" w:hAnsi="Aptos"/>
                <w:b/>
                <w:color w:val="FFFFFF"/>
                <w:sz w:val="20"/>
              </w:rPr>
              <w:t>Channel</w:t>
            </w:r>
          </w:p>
        </w:tc>
        <w:tc>
          <w:tcPr>
            <w:tcW w:type="dxa" w:w="1958"/>
            <w:shd w:fill="20364F"/>
          </w:tcPr>
          <w:p>
            <w:pPr>
              <w:jc w:val="left"/>
            </w:pPr>
            <w:r>
              <w:rPr>
                <w:rFonts w:ascii="Aptos" w:hAnsi="Aptos"/>
                <w:b/>
                <w:color w:val="FFFFFF"/>
                <w:sz w:val="20"/>
              </w:rPr>
              <w:t>Interactions</w:t>
            </w:r>
          </w:p>
        </w:tc>
        <w:tc>
          <w:tcPr>
            <w:tcW w:type="dxa" w:w="1958"/>
            <w:shd w:fill="20364F"/>
          </w:tcPr>
          <w:p>
            <w:pPr>
              <w:jc w:val="left"/>
            </w:pPr>
            <w:r>
              <w:rPr>
                <w:rFonts w:ascii="Aptos" w:hAnsi="Aptos"/>
                <w:b/>
                <w:color w:val="FFFFFF"/>
                <w:sz w:val="20"/>
              </w:rPr>
              <w:t>Conversion</w:t>
            </w:r>
          </w:p>
        </w:tc>
        <w:tc>
          <w:tcPr>
            <w:tcW w:type="dxa" w:w="1958"/>
            <w:shd w:fill="20364F"/>
          </w:tcPr>
          <w:p>
            <w:pPr>
              <w:jc w:val="left"/>
            </w:pPr>
            <w:r>
              <w:rPr>
                <w:rFonts w:ascii="Aptos" w:hAnsi="Aptos"/>
                <w:b/>
                <w:color w:val="FFFFFF"/>
                <w:sz w:val="20"/>
              </w:rPr>
              <w:t>Total Sales</w:t>
            </w:r>
          </w:p>
        </w:tc>
        <w:tc>
          <w:tcPr>
            <w:tcW w:type="dxa" w:w="1958"/>
            <w:shd w:fill="20364F"/>
          </w:tcPr>
          <w:p>
            <w:pPr>
              <w:jc w:val="left"/>
            </w:pPr>
            <w:r>
              <w:rPr>
                <w:rFonts w:ascii="Aptos" w:hAnsi="Aptos"/>
                <w:b/>
                <w:color w:val="FFFFFF"/>
                <w:sz w:val="20"/>
              </w:rPr>
              <w:t>Sales / Lead</w:t>
            </w:r>
          </w:p>
        </w:tc>
      </w:tr>
      <w:tr>
        <w:tc>
          <w:tcPr>
            <w:tcW w:type="dxa" w:w="1958"/>
            <w:shd w:fill="F8F5EF"/>
          </w:tcPr>
          <w:p>
            <w:pPr>
              <w:jc w:val="left"/>
            </w:pPr>
            <w:r>
              <w:rPr>
                <w:rFonts w:ascii="Aptos" w:hAnsi="Aptos"/>
                <w:b w:val="0"/>
                <w:color w:val="1D2A3A"/>
                <w:sz w:val="20"/>
              </w:rPr>
              <w:t>Email</w:t>
            </w:r>
          </w:p>
        </w:tc>
        <w:tc>
          <w:tcPr>
            <w:tcW w:type="dxa" w:w="1958"/>
            <w:shd w:fill="F8F5EF"/>
          </w:tcPr>
          <w:p>
            <w:pPr>
              <w:jc w:val="left"/>
            </w:pPr>
            <w:r>
              <w:rPr>
                <w:rFonts w:ascii="Aptos" w:hAnsi="Aptos"/>
                <w:b w:val="0"/>
                <w:color w:val="1D2A3A"/>
                <w:sz w:val="20"/>
              </w:rPr>
              <w:t>41,136</w:t>
            </w:r>
          </w:p>
        </w:tc>
        <w:tc>
          <w:tcPr>
            <w:tcW w:type="dxa" w:w="1958"/>
            <w:shd w:fill="F8F5EF"/>
          </w:tcPr>
          <w:p>
            <w:pPr>
              <w:jc w:val="left"/>
            </w:pPr>
            <w:r>
              <w:rPr>
                <w:rFonts w:ascii="Aptos" w:hAnsi="Aptos"/>
                <w:b w:val="0"/>
                <w:color w:val="1D2A3A"/>
                <w:sz w:val="20"/>
              </w:rPr>
              <w:t>47.48%</w:t>
            </w:r>
          </w:p>
        </w:tc>
        <w:tc>
          <w:tcPr>
            <w:tcW w:type="dxa" w:w="1958"/>
            <w:shd w:fill="F8F5EF"/>
          </w:tcPr>
          <w:p>
            <w:pPr>
              <w:jc w:val="left"/>
            </w:pPr>
            <w:r>
              <w:rPr>
                <w:rFonts w:ascii="Aptos" w:hAnsi="Aptos"/>
                <w:b w:val="0"/>
                <w:color w:val="1D2A3A"/>
                <w:sz w:val="20"/>
              </w:rPr>
              <w:t>$947,748.87</w:t>
            </w:r>
          </w:p>
        </w:tc>
        <w:tc>
          <w:tcPr>
            <w:tcW w:type="dxa" w:w="1958"/>
            <w:shd w:fill="F8F5EF"/>
          </w:tcPr>
          <w:p>
            <w:pPr>
              <w:jc w:val="left"/>
            </w:pPr>
            <w:r>
              <w:rPr>
                <w:rFonts w:ascii="Aptos" w:hAnsi="Aptos"/>
                <w:b w:val="0"/>
                <w:color w:val="1D2A3A"/>
                <w:sz w:val="20"/>
              </w:rPr>
              <w:t>$23.04</w:t>
            </w:r>
          </w:p>
        </w:tc>
      </w:tr>
      <w:tr>
        <w:tc>
          <w:tcPr>
            <w:tcW w:type="dxa" w:w="1958"/>
          </w:tcPr>
          <w:p>
            <w:pPr>
              <w:jc w:val="left"/>
            </w:pPr>
            <w:r>
              <w:rPr>
                <w:rFonts w:ascii="Aptos" w:hAnsi="Aptos"/>
                <w:b w:val="0"/>
                <w:color w:val="1D2A3A"/>
                <w:sz w:val="20"/>
              </w:rPr>
              <w:t>Instagram</w:t>
            </w:r>
          </w:p>
        </w:tc>
        <w:tc>
          <w:tcPr>
            <w:tcW w:type="dxa" w:w="1958"/>
          </w:tcPr>
          <w:p>
            <w:pPr>
              <w:jc w:val="left"/>
            </w:pPr>
            <w:r>
              <w:rPr>
                <w:rFonts w:ascii="Aptos" w:hAnsi="Aptos"/>
                <w:b w:val="0"/>
                <w:color w:val="1D2A3A"/>
                <w:sz w:val="20"/>
              </w:rPr>
              <w:t>29,339</w:t>
            </w:r>
          </w:p>
        </w:tc>
        <w:tc>
          <w:tcPr>
            <w:tcW w:type="dxa" w:w="1958"/>
          </w:tcPr>
          <w:p>
            <w:pPr>
              <w:jc w:val="left"/>
            </w:pPr>
            <w:r>
              <w:rPr>
                <w:rFonts w:ascii="Aptos" w:hAnsi="Aptos"/>
                <w:b w:val="0"/>
                <w:color w:val="1D2A3A"/>
                <w:sz w:val="20"/>
              </w:rPr>
              <w:t>48.16%</w:t>
            </w:r>
          </w:p>
        </w:tc>
        <w:tc>
          <w:tcPr>
            <w:tcW w:type="dxa" w:w="1958"/>
          </w:tcPr>
          <w:p>
            <w:pPr>
              <w:jc w:val="left"/>
            </w:pPr>
            <w:r>
              <w:rPr>
                <w:rFonts w:ascii="Aptos" w:hAnsi="Aptos"/>
                <w:b w:val="0"/>
                <w:color w:val="1D2A3A"/>
                <w:sz w:val="20"/>
              </w:rPr>
              <w:t>$685,223.08</w:t>
            </w:r>
          </w:p>
        </w:tc>
        <w:tc>
          <w:tcPr>
            <w:tcW w:type="dxa" w:w="1958"/>
          </w:tcPr>
          <w:p>
            <w:pPr>
              <w:jc w:val="left"/>
            </w:pPr>
            <w:r>
              <w:rPr>
                <w:rFonts w:ascii="Aptos" w:hAnsi="Aptos"/>
                <w:b w:val="0"/>
                <w:color w:val="1D2A3A"/>
                <w:sz w:val="20"/>
              </w:rPr>
              <w:t>$23.36</w:t>
            </w:r>
          </w:p>
        </w:tc>
      </w:tr>
      <w:tr>
        <w:tc>
          <w:tcPr>
            <w:tcW w:type="dxa" w:w="1958"/>
            <w:shd w:fill="F8F5EF"/>
          </w:tcPr>
          <w:p>
            <w:pPr>
              <w:jc w:val="left"/>
            </w:pPr>
            <w:r>
              <w:rPr>
                <w:rFonts w:ascii="Aptos" w:hAnsi="Aptos"/>
                <w:b w:val="0"/>
                <w:color w:val="1D2A3A"/>
                <w:sz w:val="20"/>
              </w:rPr>
              <w:t>Web Banner</w:t>
            </w:r>
          </w:p>
        </w:tc>
        <w:tc>
          <w:tcPr>
            <w:tcW w:type="dxa" w:w="1958"/>
            <w:shd w:fill="F8F5EF"/>
          </w:tcPr>
          <w:p>
            <w:pPr>
              <w:jc w:val="left"/>
            </w:pPr>
            <w:r>
              <w:rPr>
                <w:rFonts w:ascii="Aptos" w:hAnsi="Aptos"/>
                <w:b w:val="0"/>
                <w:color w:val="1D2A3A"/>
                <w:sz w:val="20"/>
              </w:rPr>
              <w:t>29,525</w:t>
            </w:r>
          </w:p>
        </w:tc>
        <w:tc>
          <w:tcPr>
            <w:tcW w:type="dxa" w:w="1958"/>
            <w:shd w:fill="F8F5EF"/>
          </w:tcPr>
          <w:p>
            <w:pPr>
              <w:jc w:val="left"/>
            </w:pPr>
            <w:r>
              <w:rPr>
                <w:rFonts w:ascii="Aptos" w:hAnsi="Aptos"/>
                <w:b w:val="0"/>
                <w:color w:val="1D2A3A"/>
                <w:sz w:val="20"/>
              </w:rPr>
              <w:t>47.57%</w:t>
            </w:r>
          </w:p>
        </w:tc>
        <w:tc>
          <w:tcPr>
            <w:tcW w:type="dxa" w:w="1958"/>
            <w:shd w:fill="F8F5EF"/>
          </w:tcPr>
          <w:p>
            <w:pPr>
              <w:jc w:val="left"/>
            </w:pPr>
            <w:r>
              <w:rPr>
                <w:rFonts w:ascii="Aptos" w:hAnsi="Aptos"/>
                <w:b w:val="0"/>
                <w:color w:val="1D2A3A"/>
                <w:sz w:val="20"/>
              </w:rPr>
              <w:t>$681,770.59</w:t>
            </w:r>
          </w:p>
        </w:tc>
        <w:tc>
          <w:tcPr>
            <w:tcW w:type="dxa" w:w="1958"/>
            <w:shd w:fill="F8F5EF"/>
          </w:tcPr>
          <w:p>
            <w:pPr>
              <w:jc w:val="left"/>
            </w:pPr>
            <w:r>
              <w:rPr>
                <w:rFonts w:ascii="Aptos" w:hAnsi="Aptos"/>
                <w:b w:val="0"/>
                <w:color w:val="1D2A3A"/>
                <w:sz w:val="20"/>
              </w:rPr>
              <w:t>$23.09</w:t>
            </w:r>
          </w:p>
        </w:tc>
      </w:tr>
    </w:tbl>
    <w:p>
      <w:pPr>
        <w:spacing w:after="100" w:line="276" w:lineRule="auto"/>
      </w:pPr>
      <w:r>
        <w:rPr>
          <w:rFonts w:ascii="Aptos" w:hAnsi="Aptos"/>
          <w:color w:val="1D2A3A"/>
          <w:sz w:val="21"/>
        </w:rPr>
        <w:t>Email is the largest revenue engine in the dataset at $947,748.87, while Instagram is the efficiency leader on sales per interaction. That split matters operationally: Email should receive the primary budget because it produces the biggest absolute return, while Instagram should be retained as a secondary optimization lane because it remains commercially efficient.</w:t>
      </w:r>
    </w:p>
    <w:p>
      <w:pPr>
        <w:pStyle w:val="Heading1"/>
        <w:spacing w:before="200" w:after="80"/>
      </w:pPr>
      <w:r>
        <w:rPr>
          <w:rFonts w:ascii="Aptos Display" w:hAnsi="Aptos Display"/>
          <w:b/>
          <w:color w:val="20364F"/>
          <w:sz w:val="30"/>
        </w:rPr>
        <w:t>7. Overall Ranking of Campaign and Channel Combinations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20364F"/>
          </w:tcPr>
          <w:p>
            <w:pPr>
              <w:jc w:val="left"/>
            </w:pPr>
            <w:r>
              <w:rPr>
                <w:rFonts w:ascii="Aptos" w:hAnsi="Aptos"/>
                <w:b/>
                <w:color w:val="FFFFFF"/>
                <w:sz w:val="20"/>
              </w:rPr>
              <w:t>Rank</w:t>
            </w:r>
          </w:p>
        </w:tc>
        <w:tc>
          <w:tcPr>
            <w:tcW w:type="dxa" w:w="1224"/>
            <w:shd w:fill="20364F"/>
          </w:tcPr>
          <w:p>
            <w:pPr>
              <w:jc w:val="left"/>
            </w:pPr>
            <w:r>
              <w:rPr>
                <w:rFonts w:ascii="Aptos" w:hAnsi="Aptos"/>
                <w:b/>
                <w:color w:val="FFFFFF"/>
                <w:sz w:val="20"/>
              </w:rPr>
              <w:t>Campaign</w:t>
            </w:r>
          </w:p>
        </w:tc>
        <w:tc>
          <w:tcPr>
            <w:tcW w:type="dxa" w:w="1224"/>
            <w:shd w:fill="20364F"/>
          </w:tcPr>
          <w:p>
            <w:pPr>
              <w:jc w:val="left"/>
            </w:pPr>
            <w:r>
              <w:rPr>
                <w:rFonts w:ascii="Aptos" w:hAnsi="Aptos"/>
                <w:b/>
                <w:color w:val="FFFFFF"/>
                <w:sz w:val="20"/>
              </w:rPr>
              <w:t>Tone</w:t>
            </w:r>
          </w:p>
        </w:tc>
        <w:tc>
          <w:tcPr>
            <w:tcW w:type="dxa" w:w="1224"/>
            <w:shd w:fill="20364F"/>
          </w:tcPr>
          <w:p>
            <w:pPr>
              <w:jc w:val="left"/>
            </w:pPr>
            <w:r>
              <w:rPr>
                <w:rFonts w:ascii="Aptos" w:hAnsi="Aptos"/>
                <w:b/>
                <w:color w:val="FFFFFF"/>
                <w:sz w:val="20"/>
              </w:rPr>
              <w:t>Channel</w:t>
            </w:r>
          </w:p>
        </w:tc>
        <w:tc>
          <w:tcPr>
            <w:tcW w:type="dxa" w:w="1224"/>
            <w:shd w:fill="20364F"/>
          </w:tcPr>
          <w:p>
            <w:pPr>
              <w:jc w:val="left"/>
            </w:pPr>
            <w:r>
              <w:rPr>
                <w:rFonts w:ascii="Aptos" w:hAnsi="Aptos"/>
                <w:b/>
                <w:color w:val="FFFFFF"/>
                <w:sz w:val="20"/>
              </w:rPr>
              <w:t>Interactions</w:t>
            </w:r>
          </w:p>
        </w:tc>
        <w:tc>
          <w:tcPr>
            <w:tcW w:type="dxa" w:w="1224"/>
            <w:shd w:fill="20364F"/>
          </w:tcPr>
          <w:p>
            <w:pPr>
              <w:jc w:val="left"/>
            </w:pPr>
            <w:r>
              <w:rPr>
                <w:rFonts w:ascii="Aptos" w:hAnsi="Aptos"/>
                <w:b/>
                <w:color w:val="FFFFFF"/>
                <w:sz w:val="20"/>
              </w:rPr>
              <w:t>Conversion</w:t>
            </w:r>
          </w:p>
        </w:tc>
        <w:tc>
          <w:tcPr>
            <w:tcW w:type="dxa" w:w="1224"/>
            <w:shd w:fill="20364F"/>
          </w:tcPr>
          <w:p>
            <w:pPr>
              <w:jc w:val="left"/>
            </w:pPr>
            <w:r>
              <w:rPr>
                <w:rFonts w:ascii="Aptos" w:hAnsi="Aptos"/>
                <w:b/>
                <w:color w:val="FFFFFF"/>
                <w:sz w:val="20"/>
              </w:rPr>
              <w:t>Total Sales</w:t>
            </w:r>
          </w:p>
        </w:tc>
        <w:tc>
          <w:tcPr>
            <w:tcW w:type="dxa" w:w="1224"/>
            <w:shd w:fill="20364F"/>
          </w:tcPr>
          <w:p>
            <w:pPr>
              <w:jc w:val="left"/>
            </w:pPr>
            <w:r>
              <w:rPr>
                <w:rFonts w:ascii="Aptos" w:hAnsi="Aptos"/>
                <w:b/>
                <w:color w:val="FFFFFF"/>
                <w:sz w:val="20"/>
              </w:rPr>
              <w:t>Sales / Lead</w:t>
            </w:r>
          </w:p>
        </w:tc>
      </w:tr>
      <w:tr>
        <w:tc>
          <w:tcPr>
            <w:tcW w:type="dxa" w:w="1224"/>
            <w:shd w:fill="F8F5EF"/>
          </w:tcPr>
          <w:p>
            <w:pPr>
              <w:jc w:val="left"/>
            </w:pPr>
            <w:r>
              <w:rPr>
                <w:rFonts w:ascii="Aptos" w:hAnsi="Aptos"/>
                <w:b w:val="0"/>
                <w:color w:val="1D2A3A"/>
                <w:sz w:val="20"/>
              </w:rPr>
              <w:t>1</w:t>
            </w:r>
          </w:p>
        </w:tc>
        <w:tc>
          <w:tcPr>
            <w:tcW w:type="dxa" w:w="1224"/>
            <w:shd w:fill="F8F5EF"/>
          </w:tcPr>
          <w:p>
            <w:pPr>
              <w:jc w:val="left"/>
            </w:pPr>
            <w:r>
              <w:rPr>
                <w:rFonts w:ascii="Aptos" w:hAnsi="Aptos"/>
                <w:b w:val="0"/>
                <w:color w:val="1D2A3A"/>
                <w:sz w:val="20"/>
              </w:rPr>
              <w:t>B</w:t>
            </w:r>
          </w:p>
        </w:tc>
        <w:tc>
          <w:tcPr>
            <w:tcW w:type="dxa" w:w="1224"/>
            <w:shd w:fill="F8F5EF"/>
          </w:tcPr>
          <w:p>
            <w:pPr>
              <w:jc w:val="left"/>
            </w:pPr>
            <w:r>
              <w:rPr>
                <w:rFonts w:ascii="Aptos" w:hAnsi="Aptos"/>
                <w:b w:val="0"/>
                <w:color w:val="1D2A3A"/>
                <w:sz w:val="20"/>
              </w:rPr>
              <w:t>Sales-oriented tone</w:t>
            </w:r>
          </w:p>
        </w:tc>
        <w:tc>
          <w:tcPr>
            <w:tcW w:type="dxa" w:w="1224"/>
            <w:shd w:fill="F8F5EF"/>
          </w:tcPr>
          <w:p>
            <w:pPr>
              <w:jc w:val="left"/>
            </w:pPr>
            <w:r>
              <w:rPr>
                <w:rFonts w:ascii="Aptos" w:hAnsi="Aptos"/>
                <w:b w:val="0"/>
                <w:color w:val="1D2A3A"/>
                <w:sz w:val="20"/>
              </w:rPr>
              <w:t>Email</w:t>
            </w:r>
          </w:p>
        </w:tc>
        <w:tc>
          <w:tcPr>
            <w:tcW w:type="dxa" w:w="1224"/>
            <w:shd w:fill="F8F5EF"/>
          </w:tcPr>
          <w:p>
            <w:pPr>
              <w:jc w:val="left"/>
            </w:pPr>
            <w:r>
              <w:rPr>
                <w:rFonts w:ascii="Aptos" w:hAnsi="Aptos"/>
                <w:b w:val="0"/>
                <w:color w:val="1D2A3A"/>
                <w:sz w:val="20"/>
              </w:rPr>
              <w:t>23,065</w:t>
            </w:r>
          </w:p>
        </w:tc>
        <w:tc>
          <w:tcPr>
            <w:tcW w:type="dxa" w:w="1224"/>
            <w:shd w:fill="F8F5EF"/>
          </w:tcPr>
          <w:p>
            <w:pPr>
              <w:jc w:val="left"/>
            </w:pPr>
            <w:r>
              <w:rPr>
                <w:rFonts w:ascii="Aptos" w:hAnsi="Aptos"/>
                <w:b w:val="0"/>
                <w:color w:val="1D2A3A"/>
                <w:sz w:val="20"/>
              </w:rPr>
              <w:t>47.77%</w:t>
            </w:r>
          </w:p>
        </w:tc>
        <w:tc>
          <w:tcPr>
            <w:tcW w:type="dxa" w:w="1224"/>
            <w:shd w:fill="F8F5EF"/>
          </w:tcPr>
          <w:p>
            <w:pPr>
              <w:jc w:val="left"/>
            </w:pPr>
            <w:r>
              <w:rPr>
                <w:rFonts w:ascii="Aptos" w:hAnsi="Aptos"/>
                <w:b w:val="0"/>
                <w:color w:val="1D2A3A"/>
                <w:sz w:val="20"/>
              </w:rPr>
              <w:t>$533,036.65</w:t>
            </w:r>
          </w:p>
        </w:tc>
        <w:tc>
          <w:tcPr>
            <w:tcW w:type="dxa" w:w="1224"/>
            <w:shd w:fill="F8F5EF"/>
          </w:tcPr>
          <w:p>
            <w:pPr>
              <w:jc w:val="left"/>
            </w:pPr>
            <w:r>
              <w:rPr>
                <w:rFonts w:ascii="Aptos" w:hAnsi="Aptos"/>
                <w:b w:val="0"/>
                <w:color w:val="1D2A3A"/>
                <w:sz w:val="20"/>
              </w:rPr>
              <w:t>$23.11</w:t>
            </w:r>
          </w:p>
        </w:tc>
      </w:tr>
      <w:tr>
        <w:tc>
          <w:tcPr>
            <w:tcW w:type="dxa" w:w="1224"/>
          </w:tcPr>
          <w:p>
            <w:pPr>
              <w:jc w:val="left"/>
            </w:pPr>
            <w:r>
              <w:rPr>
                <w:rFonts w:ascii="Aptos" w:hAnsi="Aptos"/>
                <w:b w:val="0"/>
                <w:color w:val="1D2A3A"/>
                <w:sz w:val="20"/>
              </w:rPr>
              <w:t>2</w:t>
            </w:r>
          </w:p>
        </w:tc>
        <w:tc>
          <w:tcPr>
            <w:tcW w:type="dxa" w:w="1224"/>
          </w:tcPr>
          <w:p>
            <w:pPr>
              <w:jc w:val="left"/>
            </w:pPr>
            <w:r>
              <w:rPr>
                <w:rFonts w:ascii="Aptos" w:hAnsi="Aptos"/>
                <w:b w:val="0"/>
                <w:color w:val="1D2A3A"/>
                <w:sz w:val="20"/>
              </w:rPr>
              <w:t>A</w:t>
            </w:r>
          </w:p>
        </w:tc>
        <w:tc>
          <w:tcPr>
            <w:tcW w:type="dxa" w:w="1224"/>
          </w:tcPr>
          <w:p>
            <w:pPr>
              <w:jc w:val="left"/>
            </w:pPr>
            <w:r>
              <w:rPr>
                <w:rFonts w:ascii="Aptos" w:hAnsi="Aptos"/>
                <w:b w:val="0"/>
                <w:color w:val="1D2A3A"/>
                <w:sz w:val="20"/>
              </w:rPr>
              <w:t>Casual tone</w:t>
            </w:r>
          </w:p>
        </w:tc>
        <w:tc>
          <w:tcPr>
            <w:tcW w:type="dxa" w:w="1224"/>
          </w:tcPr>
          <w:p>
            <w:pPr>
              <w:jc w:val="left"/>
            </w:pPr>
            <w:r>
              <w:rPr>
                <w:rFonts w:ascii="Aptos" w:hAnsi="Aptos"/>
                <w:b w:val="0"/>
                <w:color w:val="1D2A3A"/>
                <w:sz w:val="20"/>
              </w:rPr>
              <w:t>Email</w:t>
            </w:r>
          </w:p>
        </w:tc>
        <w:tc>
          <w:tcPr>
            <w:tcW w:type="dxa" w:w="1224"/>
          </w:tcPr>
          <w:p>
            <w:pPr>
              <w:jc w:val="left"/>
            </w:pPr>
            <w:r>
              <w:rPr>
                <w:rFonts w:ascii="Aptos" w:hAnsi="Aptos"/>
                <w:b w:val="0"/>
                <w:color w:val="1D2A3A"/>
                <w:sz w:val="20"/>
              </w:rPr>
              <w:t>18,071</w:t>
            </w:r>
          </w:p>
        </w:tc>
        <w:tc>
          <w:tcPr>
            <w:tcW w:type="dxa" w:w="1224"/>
          </w:tcPr>
          <w:p>
            <w:pPr>
              <w:jc w:val="left"/>
            </w:pPr>
            <w:r>
              <w:rPr>
                <w:rFonts w:ascii="Aptos" w:hAnsi="Aptos"/>
                <w:b w:val="0"/>
                <w:color w:val="1D2A3A"/>
                <w:sz w:val="20"/>
              </w:rPr>
              <w:t>47.11%</w:t>
            </w:r>
          </w:p>
        </w:tc>
        <w:tc>
          <w:tcPr>
            <w:tcW w:type="dxa" w:w="1224"/>
          </w:tcPr>
          <w:p>
            <w:pPr>
              <w:jc w:val="left"/>
            </w:pPr>
            <w:r>
              <w:rPr>
                <w:rFonts w:ascii="Aptos" w:hAnsi="Aptos"/>
                <w:b w:val="0"/>
                <w:color w:val="1D2A3A"/>
                <w:sz w:val="20"/>
              </w:rPr>
              <w:t>$414,712.22</w:t>
            </w:r>
          </w:p>
        </w:tc>
        <w:tc>
          <w:tcPr>
            <w:tcW w:type="dxa" w:w="1224"/>
          </w:tcPr>
          <w:p>
            <w:pPr>
              <w:jc w:val="left"/>
            </w:pPr>
            <w:r>
              <w:rPr>
                <w:rFonts w:ascii="Aptos" w:hAnsi="Aptos"/>
                <w:b w:val="0"/>
                <w:color w:val="1D2A3A"/>
                <w:sz w:val="20"/>
              </w:rPr>
              <w:t>$22.95</w:t>
            </w:r>
          </w:p>
        </w:tc>
      </w:tr>
      <w:tr>
        <w:tc>
          <w:tcPr>
            <w:tcW w:type="dxa" w:w="1224"/>
            <w:shd w:fill="F8F5EF"/>
          </w:tcPr>
          <w:p>
            <w:pPr>
              <w:jc w:val="left"/>
            </w:pPr>
            <w:r>
              <w:rPr>
                <w:rFonts w:ascii="Aptos" w:hAnsi="Aptos"/>
                <w:b w:val="0"/>
                <w:color w:val="1D2A3A"/>
                <w:sz w:val="20"/>
              </w:rPr>
              <w:t>3</w:t>
            </w:r>
          </w:p>
        </w:tc>
        <w:tc>
          <w:tcPr>
            <w:tcW w:type="dxa" w:w="1224"/>
            <w:shd w:fill="F8F5EF"/>
          </w:tcPr>
          <w:p>
            <w:pPr>
              <w:jc w:val="left"/>
            </w:pPr>
            <w:r>
              <w:rPr>
                <w:rFonts w:ascii="Aptos" w:hAnsi="Aptos"/>
                <w:b w:val="0"/>
                <w:color w:val="1D2A3A"/>
                <w:sz w:val="20"/>
              </w:rPr>
              <w:t>B</w:t>
            </w:r>
          </w:p>
        </w:tc>
        <w:tc>
          <w:tcPr>
            <w:tcW w:type="dxa" w:w="1224"/>
            <w:shd w:fill="F8F5EF"/>
          </w:tcPr>
          <w:p>
            <w:pPr>
              <w:jc w:val="left"/>
            </w:pPr>
            <w:r>
              <w:rPr>
                <w:rFonts w:ascii="Aptos" w:hAnsi="Aptos"/>
                <w:b w:val="0"/>
                <w:color w:val="1D2A3A"/>
                <w:sz w:val="20"/>
              </w:rPr>
              <w:t>Sales-oriented tone</w:t>
            </w:r>
          </w:p>
        </w:tc>
        <w:tc>
          <w:tcPr>
            <w:tcW w:type="dxa" w:w="1224"/>
            <w:shd w:fill="F8F5EF"/>
          </w:tcPr>
          <w:p>
            <w:pPr>
              <w:jc w:val="left"/>
            </w:pPr>
            <w:r>
              <w:rPr>
                <w:rFonts w:ascii="Aptos" w:hAnsi="Aptos"/>
                <w:b w:val="0"/>
                <w:color w:val="1D2A3A"/>
                <w:sz w:val="20"/>
              </w:rPr>
              <w:t>Web Banner</w:t>
            </w:r>
          </w:p>
        </w:tc>
        <w:tc>
          <w:tcPr>
            <w:tcW w:type="dxa" w:w="1224"/>
            <w:shd w:fill="F8F5EF"/>
          </w:tcPr>
          <w:p>
            <w:pPr>
              <w:jc w:val="left"/>
            </w:pPr>
            <w:r>
              <w:rPr>
                <w:rFonts w:ascii="Aptos" w:hAnsi="Aptos"/>
                <w:b w:val="0"/>
                <w:color w:val="1D2A3A"/>
                <w:sz w:val="20"/>
              </w:rPr>
              <w:t>16,694</w:t>
            </w:r>
          </w:p>
        </w:tc>
        <w:tc>
          <w:tcPr>
            <w:tcW w:type="dxa" w:w="1224"/>
            <w:shd w:fill="F8F5EF"/>
          </w:tcPr>
          <w:p>
            <w:pPr>
              <w:jc w:val="left"/>
            </w:pPr>
            <w:r>
              <w:rPr>
                <w:rFonts w:ascii="Aptos" w:hAnsi="Aptos"/>
                <w:b w:val="0"/>
                <w:color w:val="1D2A3A"/>
                <w:sz w:val="20"/>
              </w:rPr>
              <w:t>47.55%</w:t>
            </w:r>
          </w:p>
        </w:tc>
        <w:tc>
          <w:tcPr>
            <w:tcW w:type="dxa" w:w="1224"/>
            <w:shd w:fill="F8F5EF"/>
          </w:tcPr>
          <w:p>
            <w:pPr>
              <w:jc w:val="left"/>
            </w:pPr>
            <w:r>
              <w:rPr>
                <w:rFonts w:ascii="Aptos" w:hAnsi="Aptos"/>
                <w:b w:val="0"/>
                <w:color w:val="1D2A3A"/>
                <w:sz w:val="20"/>
              </w:rPr>
              <w:t>$385,345.70</w:t>
            </w:r>
          </w:p>
        </w:tc>
        <w:tc>
          <w:tcPr>
            <w:tcW w:type="dxa" w:w="1224"/>
            <w:shd w:fill="F8F5EF"/>
          </w:tcPr>
          <w:p>
            <w:pPr>
              <w:jc w:val="left"/>
            </w:pPr>
            <w:r>
              <w:rPr>
                <w:rFonts w:ascii="Aptos" w:hAnsi="Aptos"/>
                <w:b w:val="0"/>
                <w:color w:val="1D2A3A"/>
                <w:sz w:val="20"/>
              </w:rPr>
              <w:t>$23.08</w:t>
            </w:r>
          </w:p>
        </w:tc>
      </w:tr>
      <w:tr>
        <w:tc>
          <w:tcPr>
            <w:tcW w:type="dxa" w:w="1224"/>
          </w:tcPr>
          <w:p>
            <w:pPr>
              <w:jc w:val="left"/>
            </w:pPr>
            <w:r>
              <w:rPr>
                <w:rFonts w:ascii="Aptos" w:hAnsi="Aptos"/>
                <w:b w:val="0"/>
                <w:color w:val="1D2A3A"/>
                <w:sz w:val="20"/>
              </w:rPr>
              <w:t>4</w:t>
            </w:r>
          </w:p>
        </w:tc>
        <w:tc>
          <w:tcPr>
            <w:tcW w:type="dxa" w:w="1224"/>
          </w:tcPr>
          <w:p>
            <w:pPr>
              <w:jc w:val="left"/>
            </w:pPr>
            <w:r>
              <w:rPr>
                <w:rFonts w:ascii="Aptos" w:hAnsi="Aptos"/>
                <w:b w:val="0"/>
                <w:color w:val="1D2A3A"/>
                <w:sz w:val="20"/>
              </w:rPr>
              <w:t>B</w:t>
            </w:r>
          </w:p>
        </w:tc>
        <w:tc>
          <w:tcPr>
            <w:tcW w:type="dxa" w:w="1224"/>
          </w:tcPr>
          <w:p>
            <w:pPr>
              <w:jc w:val="left"/>
            </w:pPr>
            <w:r>
              <w:rPr>
                <w:rFonts w:ascii="Aptos" w:hAnsi="Aptos"/>
                <w:b w:val="0"/>
                <w:color w:val="1D2A3A"/>
                <w:sz w:val="20"/>
              </w:rPr>
              <w:t>Sales-oriented tone</w:t>
            </w:r>
          </w:p>
        </w:tc>
        <w:tc>
          <w:tcPr>
            <w:tcW w:type="dxa" w:w="1224"/>
          </w:tcPr>
          <w:p>
            <w:pPr>
              <w:jc w:val="left"/>
            </w:pPr>
            <w:r>
              <w:rPr>
                <w:rFonts w:ascii="Aptos" w:hAnsi="Aptos"/>
                <w:b w:val="0"/>
                <w:color w:val="1D2A3A"/>
                <w:sz w:val="20"/>
              </w:rPr>
              <w:t>Instagram</w:t>
            </w:r>
          </w:p>
        </w:tc>
        <w:tc>
          <w:tcPr>
            <w:tcW w:type="dxa" w:w="1224"/>
          </w:tcPr>
          <w:p>
            <w:pPr>
              <w:jc w:val="left"/>
            </w:pPr>
            <w:r>
              <w:rPr>
                <w:rFonts w:ascii="Aptos" w:hAnsi="Aptos"/>
                <w:b w:val="0"/>
                <w:color w:val="1D2A3A"/>
                <w:sz w:val="20"/>
              </w:rPr>
              <w:t>16,459</w:t>
            </w:r>
          </w:p>
        </w:tc>
        <w:tc>
          <w:tcPr>
            <w:tcW w:type="dxa" w:w="1224"/>
          </w:tcPr>
          <w:p>
            <w:pPr>
              <w:jc w:val="left"/>
            </w:pPr>
            <w:r>
              <w:rPr>
                <w:rFonts w:ascii="Aptos" w:hAnsi="Aptos"/>
                <w:b w:val="0"/>
                <w:color w:val="1D2A3A"/>
                <w:sz w:val="20"/>
              </w:rPr>
              <w:t>47.76%</w:t>
            </w:r>
          </w:p>
        </w:tc>
        <w:tc>
          <w:tcPr>
            <w:tcW w:type="dxa" w:w="1224"/>
          </w:tcPr>
          <w:p>
            <w:pPr>
              <w:jc w:val="left"/>
            </w:pPr>
            <w:r>
              <w:rPr>
                <w:rFonts w:ascii="Aptos" w:hAnsi="Aptos"/>
                <w:b w:val="0"/>
                <w:color w:val="1D2A3A"/>
                <w:sz w:val="20"/>
              </w:rPr>
              <w:t>$382,487.78</w:t>
            </w:r>
          </w:p>
        </w:tc>
        <w:tc>
          <w:tcPr>
            <w:tcW w:type="dxa" w:w="1224"/>
          </w:tcPr>
          <w:p>
            <w:pPr>
              <w:jc w:val="left"/>
            </w:pPr>
            <w:r>
              <w:rPr>
                <w:rFonts w:ascii="Aptos" w:hAnsi="Aptos"/>
                <w:b w:val="0"/>
                <w:color w:val="1D2A3A"/>
                <w:sz w:val="20"/>
              </w:rPr>
              <w:t>$23.24</w:t>
            </w:r>
          </w:p>
        </w:tc>
      </w:tr>
      <w:tr>
        <w:tc>
          <w:tcPr>
            <w:tcW w:type="dxa" w:w="1224"/>
            <w:shd w:fill="F8F5EF"/>
          </w:tcPr>
          <w:p>
            <w:pPr>
              <w:jc w:val="left"/>
            </w:pPr>
            <w:r>
              <w:rPr>
                <w:rFonts w:ascii="Aptos" w:hAnsi="Aptos"/>
                <w:b w:val="0"/>
                <w:color w:val="1D2A3A"/>
                <w:sz w:val="20"/>
              </w:rPr>
              <w:t>5</w:t>
            </w:r>
          </w:p>
        </w:tc>
        <w:tc>
          <w:tcPr>
            <w:tcW w:type="dxa" w:w="1224"/>
            <w:shd w:fill="F8F5EF"/>
          </w:tcPr>
          <w:p>
            <w:pPr>
              <w:jc w:val="left"/>
            </w:pPr>
            <w:r>
              <w:rPr>
                <w:rFonts w:ascii="Aptos" w:hAnsi="Aptos"/>
                <w:b w:val="0"/>
                <w:color w:val="1D2A3A"/>
                <w:sz w:val="20"/>
              </w:rPr>
              <w:t>A</w:t>
            </w:r>
          </w:p>
        </w:tc>
        <w:tc>
          <w:tcPr>
            <w:tcW w:type="dxa" w:w="1224"/>
            <w:shd w:fill="F8F5EF"/>
          </w:tcPr>
          <w:p>
            <w:pPr>
              <w:jc w:val="left"/>
            </w:pPr>
            <w:r>
              <w:rPr>
                <w:rFonts w:ascii="Aptos" w:hAnsi="Aptos"/>
                <w:b w:val="0"/>
                <w:color w:val="1D2A3A"/>
                <w:sz w:val="20"/>
              </w:rPr>
              <w:t>Casual tone</w:t>
            </w:r>
          </w:p>
        </w:tc>
        <w:tc>
          <w:tcPr>
            <w:tcW w:type="dxa" w:w="1224"/>
            <w:shd w:fill="F8F5EF"/>
          </w:tcPr>
          <w:p>
            <w:pPr>
              <w:jc w:val="left"/>
            </w:pPr>
            <w:r>
              <w:rPr>
                <w:rFonts w:ascii="Aptos" w:hAnsi="Aptos"/>
                <w:b w:val="0"/>
                <w:color w:val="1D2A3A"/>
                <w:sz w:val="20"/>
              </w:rPr>
              <w:t>Instagram</w:t>
            </w:r>
          </w:p>
        </w:tc>
        <w:tc>
          <w:tcPr>
            <w:tcW w:type="dxa" w:w="1224"/>
            <w:shd w:fill="F8F5EF"/>
          </w:tcPr>
          <w:p>
            <w:pPr>
              <w:jc w:val="left"/>
            </w:pPr>
            <w:r>
              <w:rPr>
                <w:rFonts w:ascii="Aptos" w:hAnsi="Aptos"/>
                <w:b w:val="0"/>
                <w:color w:val="1D2A3A"/>
                <w:sz w:val="20"/>
              </w:rPr>
              <w:t>12,880</w:t>
            </w:r>
          </w:p>
        </w:tc>
        <w:tc>
          <w:tcPr>
            <w:tcW w:type="dxa" w:w="1224"/>
            <w:shd w:fill="F8F5EF"/>
          </w:tcPr>
          <w:p>
            <w:pPr>
              <w:jc w:val="left"/>
            </w:pPr>
            <w:r>
              <w:rPr>
                <w:rFonts w:ascii="Aptos" w:hAnsi="Aptos"/>
                <w:b w:val="0"/>
                <w:color w:val="1D2A3A"/>
                <w:sz w:val="20"/>
              </w:rPr>
              <w:t>48.68%</w:t>
            </w:r>
          </w:p>
        </w:tc>
        <w:tc>
          <w:tcPr>
            <w:tcW w:type="dxa" w:w="1224"/>
            <w:shd w:fill="F8F5EF"/>
          </w:tcPr>
          <w:p>
            <w:pPr>
              <w:jc w:val="left"/>
            </w:pPr>
            <w:r>
              <w:rPr>
                <w:rFonts w:ascii="Aptos" w:hAnsi="Aptos"/>
                <w:b w:val="0"/>
                <w:color w:val="1D2A3A"/>
                <w:sz w:val="20"/>
              </w:rPr>
              <w:t>$302,735.29</w:t>
            </w:r>
          </w:p>
        </w:tc>
        <w:tc>
          <w:tcPr>
            <w:tcW w:type="dxa" w:w="1224"/>
            <w:shd w:fill="F8F5EF"/>
          </w:tcPr>
          <w:p>
            <w:pPr>
              <w:jc w:val="left"/>
            </w:pPr>
            <w:r>
              <w:rPr>
                <w:rFonts w:ascii="Aptos" w:hAnsi="Aptos"/>
                <w:b w:val="0"/>
                <w:color w:val="1D2A3A"/>
                <w:sz w:val="20"/>
              </w:rPr>
              <w:t>$23.50</w:t>
            </w:r>
          </w:p>
        </w:tc>
      </w:tr>
      <w:tr>
        <w:tc>
          <w:tcPr>
            <w:tcW w:type="dxa" w:w="1224"/>
          </w:tcPr>
          <w:p>
            <w:pPr>
              <w:jc w:val="left"/>
            </w:pPr>
            <w:r>
              <w:rPr>
                <w:rFonts w:ascii="Aptos" w:hAnsi="Aptos"/>
                <w:b w:val="0"/>
                <w:color w:val="1D2A3A"/>
                <w:sz w:val="20"/>
              </w:rPr>
              <w:t>6</w:t>
            </w:r>
          </w:p>
        </w:tc>
        <w:tc>
          <w:tcPr>
            <w:tcW w:type="dxa" w:w="1224"/>
          </w:tcPr>
          <w:p>
            <w:pPr>
              <w:jc w:val="left"/>
            </w:pPr>
            <w:r>
              <w:rPr>
                <w:rFonts w:ascii="Aptos" w:hAnsi="Aptos"/>
                <w:b w:val="0"/>
                <w:color w:val="1D2A3A"/>
                <w:sz w:val="20"/>
              </w:rPr>
              <w:t>A</w:t>
            </w:r>
          </w:p>
        </w:tc>
        <w:tc>
          <w:tcPr>
            <w:tcW w:type="dxa" w:w="1224"/>
          </w:tcPr>
          <w:p>
            <w:pPr>
              <w:jc w:val="left"/>
            </w:pPr>
            <w:r>
              <w:rPr>
                <w:rFonts w:ascii="Aptos" w:hAnsi="Aptos"/>
                <w:b w:val="0"/>
                <w:color w:val="1D2A3A"/>
                <w:sz w:val="20"/>
              </w:rPr>
              <w:t>Casual tone</w:t>
            </w:r>
          </w:p>
        </w:tc>
        <w:tc>
          <w:tcPr>
            <w:tcW w:type="dxa" w:w="1224"/>
          </w:tcPr>
          <w:p>
            <w:pPr>
              <w:jc w:val="left"/>
            </w:pPr>
            <w:r>
              <w:rPr>
                <w:rFonts w:ascii="Aptos" w:hAnsi="Aptos"/>
                <w:b w:val="0"/>
                <w:color w:val="1D2A3A"/>
                <w:sz w:val="20"/>
              </w:rPr>
              <w:t>Web Banner</w:t>
            </w:r>
          </w:p>
        </w:tc>
        <w:tc>
          <w:tcPr>
            <w:tcW w:type="dxa" w:w="1224"/>
          </w:tcPr>
          <w:p>
            <w:pPr>
              <w:jc w:val="left"/>
            </w:pPr>
            <w:r>
              <w:rPr>
                <w:rFonts w:ascii="Aptos" w:hAnsi="Aptos"/>
                <w:b w:val="0"/>
                <w:color w:val="1D2A3A"/>
                <w:sz w:val="20"/>
              </w:rPr>
              <w:t>12,831</w:t>
            </w:r>
          </w:p>
        </w:tc>
        <w:tc>
          <w:tcPr>
            <w:tcW w:type="dxa" w:w="1224"/>
          </w:tcPr>
          <w:p>
            <w:pPr>
              <w:jc w:val="left"/>
            </w:pPr>
            <w:r>
              <w:rPr>
                <w:rFonts w:ascii="Aptos" w:hAnsi="Aptos"/>
                <w:b w:val="0"/>
                <w:color w:val="1D2A3A"/>
                <w:sz w:val="20"/>
              </w:rPr>
              <w:t>47.60%</w:t>
            </w:r>
          </w:p>
        </w:tc>
        <w:tc>
          <w:tcPr>
            <w:tcW w:type="dxa" w:w="1224"/>
          </w:tcPr>
          <w:p>
            <w:pPr>
              <w:jc w:val="left"/>
            </w:pPr>
            <w:r>
              <w:rPr>
                <w:rFonts w:ascii="Aptos" w:hAnsi="Aptos"/>
                <w:b w:val="0"/>
                <w:color w:val="1D2A3A"/>
                <w:sz w:val="20"/>
              </w:rPr>
              <w:t>$296,424.89</w:t>
            </w:r>
          </w:p>
        </w:tc>
        <w:tc>
          <w:tcPr>
            <w:tcW w:type="dxa" w:w="1224"/>
          </w:tcPr>
          <w:p>
            <w:pPr>
              <w:jc w:val="left"/>
            </w:pPr>
            <w:r>
              <w:rPr>
                <w:rFonts w:ascii="Aptos" w:hAnsi="Aptos"/>
                <w:b w:val="0"/>
                <w:color w:val="1D2A3A"/>
                <w:sz w:val="20"/>
              </w:rPr>
              <w:t>$23.10</w:t>
            </w:r>
          </w:p>
        </w:tc>
      </w:tr>
    </w:tbl>
    <w:p>
      <w:pPr>
        <w:spacing w:after="100" w:line="276" w:lineRule="auto"/>
      </w:pPr>
      <w:r>
        <w:rPr>
          <w:rFonts w:ascii="Aptos" w:hAnsi="Aptos"/>
          <w:color w:val="1D2A3A"/>
          <w:sz w:val="21"/>
        </w:rPr>
        <w:t>The revenue gap between the top option and the runner-up is $118,324.43. This is material enough to justify a clear investment decision rather than a split allocation. The runner-up remains useful as a benchmark, but it does not offer a better primary choice under the test conditions.</w:t>
      </w:r>
    </w:p>
    <w:p>
      <w:pPr>
        <w:pStyle w:val="Heading1"/>
        <w:spacing w:before="200" w:after="80"/>
      </w:pPr>
      <w:r>
        <w:rPr>
          <w:rFonts w:ascii="Aptos Display" w:hAnsi="Aptos Display"/>
          <w:b/>
          <w:color w:val="20364F"/>
          <w:sz w:val="30"/>
        </w:rPr>
        <w:t>8. New-Customer Confirmation</w:t>
      </w:r>
    </w:p>
    <w:p>
      <w:pPr>
        <w:spacing w:after="100" w:line="276" w:lineRule="auto"/>
      </w:pPr>
      <w:r>
        <w:rPr>
          <w:rFonts w:ascii="Aptos" w:hAnsi="Aptos"/>
          <w:color w:val="1D2A3A"/>
          <w:sz w:val="21"/>
        </w:rPr>
        <w:t>The acquisition view confirms the same decision. B + Email ranked first among new customers, delivering $225,285.52 in new-customer sales from 9,700 interactions. This consistency reduces execution risk because the same choice supports both short-term revenue and customer acquisition goals.</w:t>
      </w:r>
    </w:p>
    <w:p>
      <w:pPr>
        <w:jc w:val="center"/>
      </w:pPr>
      <w:r>
        <w:drawing>
          <wp:inline xmlns:a="http://schemas.openxmlformats.org/drawingml/2006/main" xmlns:pic="http://schemas.openxmlformats.org/drawingml/2006/picture">
            <wp:extent cx="5669280" cy="3468910"/>
            <wp:docPr id="3" name="Picture 3"/>
            <wp:cNvGraphicFramePr>
              <a:graphicFrameLocks noChangeAspect="1"/>
            </wp:cNvGraphicFramePr>
            <a:graphic>
              <a:graphicData uri="http://schemas.openxmlformats.org/drawingml/2006/picture">
                <pic:pic>
                  <pic:nvPicPr>
                    <pic:cNvPr id="0" name="dashboard_new_customer_panel.png"/>
                    <pic:cNvPicPr/>
                  </pic:nvPicPr>
                  <pic:blipFill>
                    <a:blip r:embed="rId13"/>
                    <a:stretch>
                      <a:fillRect/>
                    </a:stretch>
                  </pic:blipFill>
                  <pic:spPr>
                    <a:xfrm>
                      <a:off x="0" y="0"/>
                      <a:ext cx="5669280" cy="3468910"/>
                    </a:xfrm>
                    <a:prstGeom prst="rect"/>
                  </pic:spPr>
                </pic:pic>
              </a:graphicData>
            </a:graphic>
          </wp:inline>
        </w:drawing>
      </w:r>
    </w:p>
    <w:p>
      <w:pPr>
        <w:jc w:val="center"/>
      </w:pPr>
      <w:r>
        <w:rPr>
          <w:rFonts w:ascii="Aptos" w:hAnsi="Aptos"/>
          <w:color w:val="5F6C7B"/>
          <w:sz w:val="18"/>
        </w:rPr>
        <w:t>Figure 2. The same top recommendation also wins in the new-customer acquisition slice.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20364F"/>
          </w:tcPr>
          <w:p>
            <w:pPr>
              <w:jc w:val="left"/>
            </w:pPr>
            <w:r>
              <w:rPr>
                <w:rFonts w:ascii="Aptos" w:hAnsi="Aptos"/>
                <w:b/>
                <w:color w:val="FFFFFF"/>
                <w:sz w:val="20"/>
              </w:rPr>
              <w:t>Rank</w:t>
            </w:r>
          </w:p>
        </w:tc>
        <w:tc>
          <w:tcPr>
            <w:tcW w:type="dxa" w:w="1632"/>
            <w:shd w:fill="20364F"/>
          </w:tcPr>
          <w:p>
            <w:pPr>
              <w:jc w:val="left"/>
            </w:pPr>
            <w:r>
              <w:rPr>
                <w:rFonts w:ascii="Aptos" w:hAnsi="Aptos"/>
                <w:b/>
                <w:color w:val="FFFFFF"/>
                <w:sz w:val="20"/>
              </w:rPr>
              <w:t>Campaign</w:t>
            </w:r>
          </w:p>
        </w:tc>
        <w:tc>
          <w:tcPr>
            <w:tcW w:type="dxa" w:w="1632"/>
            <w:shd w:fill="20364F"/>
          </w:tcPr>
          <w:p>
            <w:pPr>
              <w:jc w:val="left"/>
            </w:pPr>
            <w:r>
              <w:rPr>
                <w:rFonts w:ascii="Aptos" w:hAnsi="Aptos"/>
                <w:b/>
                <w:color w:val="FFFFFF"/>
                <w:sz w:val="20"/>
              </w:rPr>
              <w:t>Channel</w:t>
            </w:r>
          </w:p>
        </w:tc>
        <w:tc>
          <w:tcPr>
            <w:tcW w:type="dxa" w:w="1632"/>
            <w:shd w:fill="20364F"/>
          </w:tcPr>
          <w:p>
            <w:pPr>
              <w:jc w:val="left"/>
            </w:pPr>
            <w:r>
              <w:rPr>
                <w:rFonts w:ascii="Aptos" w:hAnsi="Aptos"/>
                <w:b/>
                <w:color w:val="FFFFFF"/>
                <w:sz w:val="20"/>
              </w:rPr>
              <w:t>Leads</w:t>
            </w:r>
          </w:p>
        </w:tc>
        <w:tc>
          <w:tcPr>
            <w:tcW w:type="dxa" w:w="1632"/>
            <w:shd w:fill="20364F"/>
          </w:tcPr>
          <w:p>
            <w:pPr>
              <w:jc w:val="left"/>
            </w:pPr>
            <w:r>
              <w:rPr>
                <w:rFonts w:ascii="Aptos" w:hAnsi="Aptos"/>
                <w:b/>
                <w:color w:val="FFFFFF"/>
                <w:sz w:val="20"/>
              </w:rPr>
              <w:t>Conversion</w:t>
            </w:r>
          </w:p>
        </w:tc>
        <w:tc>
          <w:tcPr>
            <w:tcW w:type="dxa" w:w="1632"/>
            <w:shd w:fill="20364F"/>
          </w:tcPr>
          <w:p>
            <w:pPr>
              <w:jc w:val="left"/>
            </w:pPr>
            <w:r>
              <w:rPr>
                <w:rFonts w:ascii="Aptos" w:hAnsi="Aptos"/>
                <w:b/>
                <w:color w:val="FFFFFF"/>
                <w:sz w:val="20"/>
              </w:rPr>
              <w:t>Total Sales</w:t>
            </w:r>
          </w:p>
        </w:tc>
      </w:tr>
      <w:tr>
        <w:tc>
          <w:tcPr>
            <w:tcW w:type="dxa" w:w="1632"/>
            <w:shd w:fill="F8F5EF"/>
          </w:tcPr>
          <w:p>
            <w:pPr>
              <w:jc w:val="left"/>
            </w:pPr>
            <w:r>
              <w:rPr>
                <w:rFonts w:ascii="Aptos" w:hAnsi="Aptos"/>
                <w:b w:val="0"/>
                <w:color w:val="1D2A3A"/>
                <w:sz w:val="20"/>
              </w:rPr>
              <w:t>1</w:t>
            </w:r>
          </w:p>
        </w:tc>
        <w:tc>
          <w:tcPr>
            <w:tcW w:type="dxa" w:w="1632"/>
            <w:shd w:fill="F8F5EF"/>
          </w:tcPr>
          <w:p>
            <w:pPr>
              <w:jc w:val="left"/>
            </w:pPr>
            <w:r>
              <w:rPr>
                <w:rFonts w:ascii="Aptos" w:hAnsi="Aptos"/>
                <w:b w:val="0"/>
                <w:color w:val="1D2A3A"/>
                <w:sz w:val="20"/>
              </w:rPr>
              <w:t>B</w:t>
            </w:r>
          </w:p>
        </w:tc>
        <w:tc>
          <w:tcPr>
            <w:tcW w:type="dxa" w:w="1632"/>
            <w:shd w:fill="F8F5EF"/>
          </w:tcPr>
          <w:p>
            <w:pPr>
              <w:jc w:val="left"/>
            </w:pPr>
            <w:r>
              <w:rPr>
                <w:rFonts w:ascii="Aptos" w:hAnsi="Aptos"/>
                <w:b w:val="0"/>
                <w:color w:val="1D2A3A"/>
                <w:sz w:val="20"/>
              </w:rPr>
              <w:t>Email</w:t>
            </w:r>
          </w:p>
        </w:tc>
        <w:tc>
          <w:tcPr>
            <w:tcW w:type="dxa" w:w="1632"/>
            <w:shd w:fill="F8F5EF"/>
          </w:tcPr>
          <w:p>
            <w:pPr>
              <w:jc w:val="left"/>
            </w:pPr>
            <w:r>
              <w:rPr>
                <w:rFonts w:ascii="Aptos" w:hAnsi="Aptos"/>
                <w:b w:val="0"/>
                <w:color w:val="1D2A3A"/>
                <w:sz w:val="20"/>
              </w:rPr>
              <w:t>9,700</w:t>
            </w:r>
          </w:p>
        </w:tc>
        <w:tc>
          <w:tcPr>
            <w:tcW w:type="dxa" w:w="1632"/>
            <w:shd w:fill="F8F5EF"/>
          </w:tcPr>
          <w:p>
            <w:pPr>
              <w:jc w:val="left"/>
            </w:pPr>
            <w:r>
              <w:rPr>
                <w:rFonts w:ascii="Aptos" w:hAnsi="Aptos"/>
                <w:b w:val="0"/>
                <w:color w:val="1D2A3A"/>
                <w:sz w:val="20"/>
              </w:rPr>
              <w:t>48.18%</w:t>
            </w:r>
          </w:p>
        </w:tc>
        <w:tc>
          <w:tcPr>
            <w:tcW w:type="dxa" w:w="1632"/>
            <w:shd w:fill="F8F5EF"/>
          </w:tcPr>
          <w:p>
            <w:pPr>
              <w:jc w:val="left"/>
            </w:pPr>
            <w:r>
              <w:rPr>
                <w:rFonts w:ascii="Aptos" w:hAnsi="Aptos"/>
                <w:b w:val="0"/>
                <w:color w:val="1D2A3A"/>
                <w:sz w:val="20"/>
              </w:rPr>
              <w:t>$225,285.52</w:t>
            </w:r>
          </w:p>
        </w:tc>
      </w:tr>
      <w:tr>
        <w:tc>
          <w:tcPr>
            <w:tcW w:type="dxa" w:w="1632"/>
          </w:tcPr>
          <w:p>
            <w:pPr>
              <w:jc w:val="left"/>
            </w:pPr>
            <w:r>
              <w:rPr>
                <w:rFonts w:ascii="Aptos" w:hAnsi="Aptos"/>
                <w:b w:val="0"/>
                <w:color w:val="1D2A3A"/>
                <w:sz w:val="20"/>
              </w:rPr>
              <w:t>2</w:t>
            </w:r>
          </w:p>
        </w:tc>
        <w:tc>
          <w:tcPr>
            <w:tcW w:type="dxa" w:w="1632"/>
          </w:tcPr>
          <w:p>
            <w:pPr>
              <w:jc w:val="left"/>
            </w:pPr>
            <w:r>
              <w:rPr>
                <w:rFonts w:ascii="Aptos" w:hAnsi="Aptos"/>
                <w:b w:val="0"/>
                <w:color w:val="1D2A3A"/>
                <w:sz w:val="20"/>
              </w:rPr>
              <w:t>A</w:t>
            </w:r>
          </w:p>
        </w:tc>
        <w:tc>
          <w:tcPr>
            <w:tcW w:type="dxa" w:w="1632"/>
          </w:tcPr>
          <w:p>
            <w:pPr>
              <w:jc w:val="left"/>
            </w:pPr>
            <w:r>
              <w:rPr>
                <w:rFonts w:ascii="Aptos" w:hAnsi="Aptos"/>
                <w:b w:val="0"/>
                <w:color w:val="1D2A3A"/>
                <w:sz w:val="20"/>
              </w:rPr>
              <w:t>Email</w:t>
            </w:r>
          </w:p>
        </w:tc>
        <w:tc>
          <w:tcPr>
            <w:tcW w:type="dxa" w:w="1632"/>
          </w:tcPr>
          <w:p>
            <w:pPr>
              <w:jc w:val="left"/>
            </w:pPr>
            <w:r>
              <w:rPr>
                <w:rFonts w:ascii="Aptos" w:hAnsi="Aptos"/>
                <w:b w:val="0"/>
                <w:color w:val="1D2A3A"/>
                <w:sz w:val="20"/>
              </w:rPr>
              <w:t>7,683</w:t>
            </w:r>
          </w:p>
        </w:tc>
        <w:tc>
          <w:tcPr>
            <w:tcW w:type="dxa" w:w="1632"/>
          </w:tcPr>
          <w:p>
            <w:pPr>
              <w:jc w:val="left"/>
            </w:pPr>
            <w:r>
              <w:rPr>
                <w:rFonts w:ascii="Aptos" w:hAnsi="Aptos"/>
                <w:b w:val="0"/>
                <w:color w:val="1D2A3A"/>
                <w:sz w:val="20"/>
              </w:rPr>
              <w:t>47.22%</w:t>
            </w:r>
          </w:p>
        </w:tc>
        <w:tc>
          <w:tcPr>
            <w:tcW w:type="dxa" w:w="1632"/>
          </w:tcPr>
          <w:p>
            <w:pPr>
              <w:jc w:val="left"/>
            </w:pPr>
            <w:r>
              <w:rPr>
                <w:rFonts w:ascii="Aptos" w:hAnsi="Aptos"/>
                <w:b w:val="0"/>
                <w:color w:val="1D2A3A"/>
                <w:sz w:val="20"/>
              </w:rPr>
              <w:t>$177,366.97</w:t>
            </w:r>
          </w:p>
        </w:tc>
      </w:tr>
      <w:tr>
        <w:tc>
          <w:tcPr>
            <w:tcW w:type="dxa" w:w="1632"/>
            <w:shd w:fill="F8F5EF"/>
          </w:tcPr>
          <w:p>
            <w:pPr>
              <w:jc w:val="left"/>
            </w:pPr>
            <w:r>
              <w:rPr>
                <w:rFonts w:ascii="Aptos" w:hAnsi="Aptos"/>
                <w:b w:val="0"/>
                <w:color w:val="1D2A3A"/>
                <w:sz w:val="20"/>
              </w:rPr>
              <w:t>3</w:t>
            </w:r>
          </w:p>
        </w:tc>
        <w:tc>
          <w:tcPr>
            <w:tcW w:type="dxa" w:w="1632"/>
            <w:shd w:fill="F8F5EF"/>
          </w:tcPr>
          <w:p>
            <w:pPr>
              <w:jc w:val="left"/>
            </w:pPr>
            <w:r>
              <w:rPr>
                <w:rFonts w:ascii="Aptos" w:hAnsi="Aptos"/>
                <w:b w:val="0"/>
                <w:color w:val="1D2A3A"/>
                <w:sz w:val="20"/>
              </w:rPr>
              <w:t>B</w:t>
            </w:r>
          </w:p>
        </w:tc>
        <w:tc>
          <w:tcPr>
            <w:tcW w:type="dxa" w:w="1632"/>
            <w:shd w:fill="F8F5EF"/>
          </w:tcPr>
          <w:p>
            <w:pPr>
              <w:jc w:val="left"/>
            </w:pPr>
            <w:r>
              <w:rPr>
                <w:rFonts w:ascii="Aptos" w:hAnsi="Aptos"/>
                <w:b w:val="0"/>
                <w:color w:val="1D2A3A"/>
                <w:sz w:val="20"/>
              </w:rPr>
              <w:t>Instagram</w:t>
            </w:r>
          </w:p>
        </w:tc>
        <w:tc>
          <w:tcPr>
            <w:tcW w:type="dxa" w:w="1632"/>
            <w:shd w:fill="F8F5EF"/>
          </w:tcPr>
          <w:p>
            <w:pPr>
              <w:jc w:val="left"/>
            </w:pPr>
            <w:r>
              <w:rPr>
                <w:rFonts w:ascii="Aptos" w:hAnsi="Aptos"/>
                <w:b w:val="0"/>
                <w:color w:val="1D2A3A"/>
                <w:sz w:val="20"/>
              </w:rPr>
              <w:t>7,100</w:t>
            </w:r>
          </w:p>
        </w:tc>
        <w:tc>
          <w:tcPr>
            <w:tcW w:type="dxa" w:w="1632"/>
            <w:shd w:fill="F8F5EF"/>
          </w:tcPr>
          <w:p>
            <w:pPr>
              <w:jc w:val="left"/>
            </w:pPr>
            <w:r>
              <w:rPr>
                <w:rFonts w:ascii="Aptos" w:hAnsi="Aptos"/>
                <w:b w:val="0"/>
                <w:color w:val="1D2A3A"/>
                <w:sz w:val="20"/>
              </w:rPr>
              <w:t>48.30%</w:t>
            </w:r>
          </w:p>
        </w:tc>
        <w:tc>
          <w:tcPr>
            <w:tcW w:type="dxa" w:w="1632"/>
            <w:shd w:fill="F8F5EF"/>
          </w:tcPr>
          <w:p>
            <w:pPr>
              <w:jc w:val="left"/>
            </w:pPr>
            <w:r>
              <w:rPr>
                <w:rFonts w:ascii="Aptos" w:hAnsi="Aptos"/>
                <w:b w:val="0"/>
                <w:color w:val="1D2A3A"/>
                <w:sz w:val="20"/>
              </w:rPr>
              <w:t>$166,722.17</w:t>
            </w:r>
          </w:p>
        </w:tc>
      </w:tr>
      <w:tr>
        <w:tc>
          <w:tcPr>
            <w:tcW w:type="dxa" w:w="1632"/>
          </w:tcPr>
          <w:p>
            <w:pPr>
              <w:jc w:val="left"/>
            </w:pPr>
            <w:r>
              <w:rPr>
                <w:rFonts w:ascii="Aptos" w:hAnsi="Aptos"/>
                <w:b w:val="0"/>
                <w:color w:val="1D2A3A"/>
                <w:sz w:val="20"/>
              </w:rPr>
              <w:t>4</w:t>
            </w:r>
          </w:p>
        </w:tc>
        <w:tc>
          <w:tcPr>
            <w:tcW w:type="dxa" w:w="1632"/>
          </w:tcPr>
          <w:p>
            <w:pPr>
              <w:jc w:val="left"/>
            </w:pPr>
            <w:r>
              <w:rPr>
                <w:rFonts w:ascii="Aptos" w:hAnsi="Aptos"/>
                <w:b w:val="0"/>
                <w:color w:val="1D2A3A"/>
                <w:sz w:val="20"/>
              </w:rPr>
              <w:t>B</w:t>
            </w:r>
          </w:p>
        </w:tc>
        <w:tc>
          <w:tcPr>
            <w:tcW w:type="dxa" w:w="1632"/>
          </w:tcPr>
          <w:p>
            <w:pPr>
              <w:jc w:val="left"/>
            </w:pPr>
            <w:r>
              <w:rPr>
                <w:rFonts w:ascii="Aptos" w:hAnsi="Aptos"/>
                <w:b w:val="0"/>
                <w:color w:val="1D2A3A"/>
                <w:sz w:val="20"/>
              </w:rPr>
              <w:t>Web Banner</w:t>
            </w:r>
          </w:p>
        </w:tc>
        <w:tc>
          <w:tcPr>
            <w:tcW w:type="dxa" w:w="1632"/>
          </w:tcPr>
          <w:p>
            <w:pPr>
              <w:jc w:val="left"/>
            </w:pPr>
            <w:r>
              <w:rPr>
                <w:rFonts w:ascii="Aptos" w:hAnsi="Aptos"/>
                <w:b w:val="0"/>
                <w:color w:val="1D2A3A"/>
                <w:sz w:val="20"/>
              </w:rPr>
              <w:t>7,110</w:t>
            </w:r>
          </w:p>
        </w:tc>
        <w:tc>
          <w:tcPr>
            <w:tcW w:type="dxa" w:w="1632"/>
          </w:tcPr>
          <w:p>
            <w:pPr>
              <w:jc w:val="left"/>
            </w:pPr>
            <w:r>
              <w:rPr>
                <w:rFonts w:ascii="Aptos" w:hAnsi="Aptos"/>
                <w:b w:val="0"/>
                <w:color w:val="1D2A3A"/>
                <w:sz w:val="20"/>
              </w:rPr>
              <w:t>47.64%</w:t>
            </w:r>
          </w:p>
        </w:tc>
        <w:tc>
          <w:tcPr>
            <w:tcW w:type="dxa" w:w="1632"/>
          </w:tcPr>
          <w:p>
            <w:pPr>
              <w:jc w:val="left"/>
            </w:pPr>
            <w:r>
              <w:rPr>
                <w:rFonts w:ascii="Aptos" w:hAnsi="Aptos"/>
                <w:b w:val="0"/>
                <w:color w:val="1D2A3A"/>
                <w:sz w:val="20"/>
              </w:rPr>
              <w:t>$164,125.79</w:t>
            </w:r>
          </w:p>
        </w:tc>
      </w:tr>
      <w:tr>
        <w:tc>
          <w:tcPr>
            <w:tcW w:type="dxa" w:w="1632"/>
            <w:shd w:fill="F8F5EF"/>
          </w:tcPr>
          <w:p>
            <w:pPr>
              <w:jc w:val="left"/>
            </w:pPr>
            <w:r>
              <w:rPr>
                <w:rFonts w:ascii="Aptos" w:hAnsi="Aptos"/>
                <w:b w:val="0"/>
                <w:color w:val="1D2A3A"/>
                <w:sz w:val="20"/>
              </w:rPr>
              <w:t>5</w:t>
            </w:r>
          </w:p>
        </w:tc>
        <w:tc>
          <w:tcPr>
            <w:tcW w:type="dxa" w:w="1632"/>
            <w:shd w:fill="F8F5EF"/>
          </w:tcPr>
          <w:p>
            <w:pPr>
              <w:jc w:val="left"/>
            </w:pPr>
            <w:r>
              <w:rPr>
                <w:rFonts w:ascii="Aptos" w:hAnsi="Aptos"/>
                <w:b w:val="0"/>
                <w:color w:val="1D2A3A"/>
                <w:sz w:val="20"/>
              </w:rPr>
              <w:t>A</w:t>
            </w:r>
          </w:p>
        </w:tc>
        <w:tc>
          <w:tcPr>
            <w:tcW w:type="dxa" w:w="1632"/>
            <w:shd w:fill="F8F5EF"/>
          </w:tcPr>
          <w:p>
            <w:pPr>
              <w:jc w:val="left"/>
            </w:pPr>
            <w:r>
              <w:rPr>
                <w:rFonts w:ascii="Aptos" w:hAnsi="Aptos"/>
                <w:b w:val="0"/>
                <w:color w:val="1D2A3A"/>
                <w:sz w:val="20"/>
              </w:rPr>
              <w:t>Instagram</w:t>
            </w:r>
          </w:p>
        </w:tc>
        <w:tc>
          <w:tcPr>
            <w:tcW w:type="dxa" w:w="1632"/>
            <w:shd w:fill="F8F5EF"/>
          </w:tcPr>
          <w:p>
            <w:pPr>
              <w:jc w:val="left"/>
            </w:pPr>
            <w:r>
              <w:rPr>
                <w:rFonts w:ascii="Aptos" w:hAnsi="Aptos"/>
                <w:b w:val="0"/>
                <w:color w:val="1D2A3A"/>
                <w:sz w:val="20"/>
              </w:rPr>
              <w:t>5,456</w:t>
            </w:r>
          </w:p>
        </w:tc>
        <w:tc>
          <w:tcPr>
            <w:tcW w:type="dxa" w:w="1632"/>
            <w:shd w:fill="F8F5EF"/>
          </w:tcPr>
          <w:p>
            <w:pPr>
              <w:jc w:val="left"/>
            </w:pPr>
            <w:r>
              <w:rPr>
                <w:rFonts w:ascii="Aptos" w:hAnsi="Aptos"/>
                <w:b w:val="0"/>
                <w:color w:val="1D2A3A"/>
                <w:sz w:val="20"/>
              </w:rPr>
              <w:t>48.72%</w:t>
            </w:r>
          </w:p>
        </w:tc>
        <w:tc>
          <w:tcPr>
            <w:tcW w:type="dxa" w:w="1632"/>
            <w:shd w:fill="F8F5EF"/>
          </w:tcPr>
          <w:p>
            <w:pPr>
              <w:jc w:val="left"/>
            </w:pPr>
            <w:r>
              <w:rPr>
                <w:rFonts w:ascii="Aptos" w:hAnsi="Aptos"/>
                <w:b w:val="0"/>
                <w:color w:val="1D2A3A"/>
                <w:sz w:val="20"/>
              </w:rPr>
              <w:t>$127,814.93</w:t>
            </w:r>
          </w:p>
        </w:tc>
      </w:tr>
      <w:tr>
        <w:tc>
          <w:tcPr>
            <w:tcW w:type="dxa" w:w="1632"/>
          </w:tcPr>
          <w:p>
            <w:pPr>
              <w:jc w:val="left"/>
            </w:pPr>
            <w:r>
              <w:rPr>
                <w:rFonts w:ascii="Aptos" w:hAnsi="Aptos"/>
                <w:b w:val="0"/>
                <w:color w:val="1D2A3A"/>
                <w:sz w:val="20"/>
              </w:rPr>
              <w:t>6</w:t>
            </w:r>
          </w:p>
        </w:tc>
        <w:tc>
          <w:tcPr>
            <w:tcW w:type="dxa" w:w="1632"/>
          </w:tcPr>
          <w:p>
            <w:pPr>
              <w:jc w:val="left"/>
            </w:pPr>
            <w:r>
              <w:rPr>
                <w:rFonts w:ascii="Aptos" w:hAnsi="Aptos"/>
                <w:b w:val="0"/>
                <w:color w:val="1D2A3A"/>
                <w:sz w:val="20"/>
              </w:rPr>
              <w:t>A</w:t>
            </w:r>
          </w:p>
        </w:tc>
        <w:tc>
          <w:tcPr>
            <w:tcW w:type="dxa" w:w="1632"/>
          </w:tcPr>
          <w:p>
            <w:pPr>
              <w:jc w:val="left"/>
            </w:pPr>
            <w:r>
              <w:rPr>
                <w:rFonts w:ascii="Aptos" w:hAnsi="Aptos"/>
                <w:b w:val="0"/>
                <w:color w:val="1D2A3A"/>
                <w:sz w:val="20"/>
              </w:rPr>
              <w:t>Web Banner</w:t>
            </w:r>
          </w:p>
        </w:tc>
        <w:tc>
          <w:tcPr>
            <w:tcW w:type="dxa" w:w="1632"/>
          </w:tcPr>
          <w:p>
            <w:pPr>
              <w:jc w:val="left"/>
            </w:pPr>
            <w:r>
              <w:rPr>
                <w:rFonts w:ascii="Aptos" w:hAnsi="Aptos"/>
                <w:b w:val="0"/>
                <w:color w:val="1D2A3A"/>
                <w:sz w:val="20"/>
              </w:rPr>
              <w:t>5,548</w:t>
            </w:r>
          </w:p>
        </w:tc>
        <w:tc>
          <w:tcPr>
            <w:tcW w:type="dxa" w:w="1632"/>
          </w:tcPr>
          <w:p>
            <w:pPr>
              <w:jc w:val="left"/>
            </w:pPr>
            <w:r>
              <w:rPr>
                <w:rFonts w:ascii="Aptos" w:hAnsi="Aptos"/>
                <w:b w:val="0"/>
                <w:color w:val="1D2A3A"/>
                <w:sz w:val="20"/>
              </w:rPr>
              <w:t>47.12%</w:t>
            </w:r>
          </w:p>
        </w:tc>
        <w:tc>
          <w:tcPr>
            <w:tcW w:type="dxa" w:w="1632"/>
          </w:tcPr>
          <w:p>
            <w:pPr>
              <w:jc w:val="left"/>
            </w:pPr>
            <w:r>
              <w:rPr>
                <w:rFonts w:ascii="Aptos" w:hAnsi="Aptos"/>
                <w:b w:val="0"/>
                <w:color w:val="1D2A3A"/>
                <w:sz w:val="20"/>
              </w:rPr>
              <w:t>$127,213.12</w:t>
            </w:r>
          </w:p>
        </w:tc>
      </w:tr>
    </w:tbl>
    <w:p>
      <w:pPr>
        <w:spacing w:after="100" w:line="276" w:lineRule="auto"/>
      </w:pPr>
      <w:r>
        <w:rPr>
          <w:rFonts w:ascii="Aptos" w:hAnsi="Aptos"/>
          <w:color w:val="1D2A3A"/>
          <w:sz w:val="21"/>
        </w:rPr>
        <w:t>The acquisition view points to the same answer: B + Email is also the leading new-customer combination. That consistency reduces the risk of optimizing for short-term revenue at the expense of future customer growth, which is a common failure mode in campaign decision-making.</w:t>
      </w:r>
    </w:p>
    <w:p>
      <w:pPr>
        <w:pStyle w:val="Heading1"/>
        <w:spacing w:before="200" w:after="80"/>
      </w:pPr>
      <w:r>
        <w:rPr>
          <w:rFonts w:ascii="Aptos Display" w:hAnsi="Aptos Display"/>
          <w:b/>
          <w:color w:val="20364F"/>
          <w:sz w:val="30"/>
        </w:rPr>
        <w:t>9. Campaign Tone Comparison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20364F"/>
          </w:tcPr>
          <w:p>
            <w:pPr>
              <w:jc w:val="left"/>
            </w:pPr>
            <w:r>
              <w:rPr>
                <w:rFonts w:ascii="Aptos" w:hAnsi="Aptos"/>
                <w:b/>
                <w:color w:val="FFFFFF"/>
                <w:sz w:val="20"/>
              </w:rPr>
              <w:t>Campaign</w:t>
            </w:r>
          </w:p>
        </w:tc>
        <w:tc>
          <w:tcPr>
            <w:tcW w:type="dxa" w:w="1632"/>
            <w:shd w:fill="20364F"/>
          </w:tcPr>
          <w:p>
            <w:pPr>
              <w:jc w:val="left"/>
            </w:pPr>
            <w:r>
              <w:rPr>
                <w:rFonts w:ascii="Aptos" w:hAnsi="Aptos"/>
                <w:b/>
                <w:color w:val="FFFFFF"/>
                <w:sz w:val="20"/>
              </w:rPr>
              <w:t>Tone</w:t>
            </w:r>
          </w:p>
        </w:tc>
        <w:tc>
          <w:tcPr>
            <w:tcW w:type="dxa" w:w="1632"/>
            <w:shd w:fill="20364F"/>
          </w:tcPr>
          <w:p>
            <w:pPr>
              <w:jc w:val="left"/>
            </w:pPr>
            <w:r>
              <w:rPr>
                <w:rFonts w:ascii="Aptos" w:hAnsi="Aptos"/>
                <w:b/>
                <w:color w:val="FFFFFF"/>
                <w:sz w:val="20"/>
              </w:rPr>
              <w:t>Overall Sales</w:t>
            </w:r>
          </w:p>
        </w:tc>
        <w:tc>
          <w:tcPr>
            <w:tcW w:type="dxa" w:w="1632"/>
            <w:shd w:fill="20364F"/>
          </w:tcPr>
          <w:p>
            <w:pPr>
              <w:jc w:val="left"/>
            </w:pPr>
            <w:r>
              <w:rPr>
                <w:rFonts w:ascii="Aptos" w:hAnsi="Aptos"/>
                <w:b/>
                <w:color w:val="FFFFFF"/>
                <w:sz w:val="20"/>
              </w:rPr>
              <w:t>Overall Conversion</w:t>
            </w:r>
          </w:p>
        </w:tc>
        <w:tc>
          <w:tcPr>
            <w:tcW w:type="dxa" w:w="1632"/>
            <w:shd w:fill="20364F"/>
          </w:tcPr>
          <w:p>
            <w:pPr>
              <w:jc w:val="left"/>
            </w:pPr>
            <w:r>
              <w:rPr>
                <w:rFonts w:ascii="Aptos" w:hAnsi="Aptos"/>
                <w:b/>
                <w:color w:val="FFFFFF"/>
                <w:sz w:val="20"/>
              </w:rPr>
              <w:t>New-Customer Sales</w:t>
            </w:r>
          </w:p>
        </w:tc>
        <w:tc>
          <w:tcPr>
            <w:tcW w:type="dxa" w:w="1632"/>
            <w:shd w:fill="20364F"/>
          </w:tcPr>
          <w:p>
            <w:pPr>
              <w:jc w:val="left"/>
            </w:pPr>
            <w:r>
              <w:rPr>
                <w:rFonts w:ascii="Aptos" w:hAnsi="Aptos"/>
                <w:b/>
                <w:color w:val="FFFFFF"/>
                <w:sz w:val="20"/>
              </w:rPr>
              <w:t>New-Customer Conversion</w:t>
            </w:r>
          </w:p>
        </w:tc>
      </w:tr>
      <w:tr>
        <w:tc>
          <w:tcPr>
            <w:tcW w:type="dxa" w:w="1632"/>
            <w:shd w:fill="F8F5EF"/>
          </w:tcPr>
          <w:p>
            <w:pPr>
              <w:jc w:val="left"/>
            </w:pPr>
            <w:r>
              <w:rPr>
                <w:rFonts w:ascii="Aptos" w:hAnsi="Aptos"/>
                <w:b w:val="0"/>
                <w:color w:val="1D2A3A"/>
                <w:sz w:val="20"/>
              </w:rPr>
              <w:t>B</w:t>
            </w:r>
          </w:p>
        </w:tc>
        <w:tc>
          <w:tcPr>
            <w:tcW w:type="dxa" w:w="1632"/>
            <w:shd w:fill="F8F5EF"/>
          </w:tcPr>
          <w:p>
            <w:pPr>
              <w:jc w:val="left"/>
            </w:pPr>
            <w:r>
              <w:rPr>
                <w:rFonts w:ascii="Aptos" w:hAnsi="Aptos"/>
                <w:b w:val="0"/>
                <w:color w:val="1D2A3A"/>
                <w:sz w:val="20"/>
              </w:rPr>
              <w:t>Sales-oriented tone</w:t>
            </w:r>
          </w:p>
        </w:tc>
        <w:tc>
          <w:tcPr>
            <w:tcW w:type="dxa" w:w="1632"/>
            <w:shd w:fill="F8F5EF"/>
          </w:tcPr>
          <w:p>
            <w:pPr>
              <w:jc w:val="left"/>
            </w:pPr>
            <w:r>
              <w:rPr>
                <w:rFonts w:ascii="Aptos" w:hAnsi="Aptos"/>
                <w:b w:val="0"/>
                <w:color w:val="1D2A3A"/>
                <w:sz w:val="20"/>
              </w:rPr>
              <w:t>$1,300,870.14</w:t>
            </w:r>
          </w:p>
        </w:tc>
        <w:tc>
          <w:tcPr>
            <w:tcW w:type="dxa" w:w="1632"/>
            <w:shd w:fill="F8F5EF"/>
          </w:tcPr>
          <w:p>
            <w:pPr>
              <w:jc w:val="left"/>
            </w:pPr>
            <w:r>
              <w:rPr>
                <w:rFonts w:ascii="Aptos" w:hAnsi="Aptos"/>
                <w:b w:val="0"/>
                <w:color w:val="1D2A3A"/>
                <w:sz w:val="20"/>
              </w:rPr>
              <w:t>47.70%</w:t>
            </w:r>
          </w:p>
        </w:tc>
        <w:tc>
          <w:tcPr>
            <w:tcW w:type="dxa" w:w="1632"/>
            <w:shd w:fill="F8F5EF"/>
          </w:tcPr>
          <w:p>
            <w:pPr>
              <w:jc w:val="left"/>
            </w:pPr>
            <w:r>
              <w:rPr>
                <w:rFonts w:ascii="Aptos" w:hAnsi="Aptos"/>
                <w:b w:val="0"/>
                <w:color w:val="1D2A3A"/>
                <w:sz w:val="20"/>
              </w:rPr>
              <w:t>$556,133.48</w:t>
            </w:r>
          </w:p>
        </w:tc>
        <w:tc>
          <w:tcPr>
            <w:tcW w:type="dxa" w:w="1632"/>
            <w:shd w:fill="F8F5EF"/>
          </w:tcPr>
          <w:p>
            <w:pPr>
              <w:jc w:val="left"/>
            </w:pPr>
            <w:r>
              <w:rPr>
                <w:rFonts w:ascii="Aptos" w:hAnsi="Aptos"/>
                <w:b w:val="0"/>
                <w:color w:val="1D2A3A"/>
                <w:sz w:val="20"/>
              </w:rPr>
              <w:t>48.05%</w:t>
            </w:r>
          </w:p>
        </w:tc>
      </w:tr>
      <w:tr>
        <w:tc>
          <w:tcPr>
            <w:tcW w:type="dxa" w:w="1632"/>
          </w:tcPr>
          <w:p>
            <w:pPr>
              <w:jc w:val="left"/>
            </w:pPr>
            <w:r>
              <w:rPr>
                <w:rFonts w:ascii="Aptos" w:hAnsi="Aptos"/>
                <w:b w:val="0"/>
                <w:color w:val="1D2A3A"/>
                <w:sz w:val="20"/>
              </w:rPr>
              <w:t>A</w:t>
            </w:r>
          </w:p>
        </w:tc>
        <w:tc>
          <w:tcPr>
            <w:tcW w:type="dxa" w:w="1632"/>
          </w:tcPr>
          <w:p>
            <w:pPr>
              <w:jc w:val="left"/>
            </w:pPr>
            <w:r>
              <w:rPr>
                <w:rFonts w:ascii="Aptos" w:hAnsi="Aptos"/>
                <w:b w:val="0"/>
                <w:color w:val="1D2A3A"/>
                <w:sz w:val="20"/>
              </w:rPr>
              <w:t>Casual tone</w:t>
            </w:r>
          </w:p>
        </w:tc>
        <w:tc>
          <w:tcPr>
            <w:tcW w:type="dxa" w:w="1632"/>
          </w:tcPr>
          <w:p>
            <w:pPr>
              <w:jc w:val="left"/>
            </w:pPr>
            <w:r>
              <w:rPr>
                <w:rFonts w:ascii="Aptos" w:hAnsi="Aptos"/>
                <w:b w:val="0"/>
                <w:color w:val="1D2A3A"/>
                <w:sz w:val="20"/>
              </w:rPr>
              <w:t>$1,013,872.40</w:t>
            </w:r>
          </w:p>
        </w:tc>
        <w:tc>
          <w:tcPr>
            <w:tcW w:type="dxa" w:w="1632"/>
          </w:tcPr>
          <w:p>
            <w:pPr>
              <w:jc w:val="left"/>
            </w:pPr>
            <w:r>
              <w:rPr>
                <w:rFonts w:ascii="Aptos" w:hAnsi="Aptos"/>
                <w:b w:val="0"/>
                <w:color w:val="1D2A3A"/>
                <w:sz w:val="20"/>
              </w:rPr>
              <w:t>47.72%</w:t>
            </w:r>
          </w:p>
        </w:tc>
        <w:tc>
          <w:tcPr>
            <w:tcW w:type="dxa" w:w="1632"/>
          </w:tcPr>
          <w:p>
            <w:pPr>
              <w:jc w:val="left"/>
            </w:pPr>
            <w:r>
              <w:rPr>
                <w:rFonts w:ascii="Aptos" w:hAnsi="Aptos"/>
                <w:b w:val="0"/>
                <w:color w:val="1D2A3A"/>
                <w:sz w:val="20"/>
              </w:rPr>
              <w:t>$432,395.02</w:t>
            </w:r>
          </w:p>
        </w:tc>
        <w:tc>
          <w:tcPr>
            <w:tcW w:type="dxa" w:w="1632"/>
          </w:tcPr>
          <w:p>
            <w:pPr>
              <w:jc w:val="left"/>
            </w:pPr>
            <w:r>
              <w:rPr>
                <w:rFonts w:ascii="Aptos" w:hAnsi="Aptos"/>
                <w:b w:val="0"/>
                <w:color w:val="1D2A3A"/>
                <w:sz w:val="20"/>
              </w:rPr>
              <w:t>47.63%</w:t>
            </w:r>
          </w:p>
        </w:tc>
      </w:tr>
    </w:tbl>
    <w:p>
      <w:pPr>
        <w:spacing w:after="100" w:line="276" w:lineRule="auto"/>
      </w:pPr>
      <w:r>
        <w:rPr>
          <w:rFonts w:ascii="Aptos" w:hAnsi="Aptos"/>
          <w:color w:val="1D2A3A"/>
          <w:sz w:val="21"/>
        </w:rPr>
        <w:t>The sales-oriented message tone outperforms the casual tone on revenue, but not because of a dramatic change in conversion rate. Instead, the stronger commercial outcome comes from winning at the high-scale combinations, especially Email. This is an important strategic distinction: the case for Campaign B is revenue productivity, not simply persuasion rate.</w:t>
      </w:r>
    </w:p>
    <w:p>
      <w:pPr>
        <w:pStyle w:val="Heading1"/>
        <w:spacing w:before="200" w:after="80"/>
      </w:pPr>
      <w:r>
        <w:rPr>
          <w:rFonts w:ascii="Aptos Display" w:hAnsi="Aptos Display"/>
          <w:b/>
          <w:color w:val="20364F"/>
          <w:sz w:val="30"/>
        </w:rPr>
        <w:t>10. Channel-Level Tone Effect</w:t>
      </w:r>
    </w:p>
    <w:p>
      <w:pPr>
        <w:spacing w:after="100" w:line="276" w:lineRule="auto"/>
      </w:pPr>
      <w:r>
        <w:rPr>
          <w:rFonts w:ascii="Aptos" w:hAnsi="Aptos"/>
          <w:color w:val="1D2A3A"/>
          <w:sz w:val="21"/>
        </w:rPr>
        <w:t>The chart below shows how much additional revenue Campaign B generated versus Campaign A inside each channel. Email delivered the largest absolute revenue advantage, which is why it remains the best primary investment option.</w:t>
      </w:r>
    </w:p>
    <w:p>
      <w:pPr>
        <w:jc w:val="center"/>
      </w:pPr>
      <w:r>
        <w:drawing>
          <wp:inline xmlns:a="http://schemas.openxmlformats.org/drawingml/2006/main" xmlns:pic="http://schemas.openxmlformats.org/drawingml/2006/picture">
            <wp:extent cx="5394960" cy="3873529"/>
            <wp:docPr id="4" name="Picture 4"/>
            <wp:cNvGraphicFramePr>
              <a:graphicFrameLocks noChangeAspect="1"/>
            </wp:cNvGraphicFramePr>
            <a:graphic>
              <a:graphicData uri="http://schemas.openxmlformats.org/drawingml/2006/picture">
                <pic:pic>
                  <pic:nvPicPr>
                    <pic:cNvPr id="0" name="dashboard_tone_effect_panel.png"/>
                    <pic:cNvPicPr/>
                  </pic:nvPicPr>
                  <pic:blipFill>
                    <a:blip r:embed="rId14"/>
                    <a:stretch>
                      <a:fillRect/>
                    </a:stretch>
                  </pic:blipFill>
                  <pic:spPr>
                    <a:xfrm>
                      <a:off x="0" y="0"/>
                      <a:ext cx="5394960" cy="3873529"/>
                    </a:xfrm>
                    <a:prstGeom prst="rect"/>
                  </pic:spPr>
                </pic:pic>
              </a:graphicData>
            </a:graphic>
          </wp:inline>
        </w:drawing>
      </w:r>
    </w:p>
    <w:p>
      <w:pPr>
        <w:jc w:val="center"/>
      </w:pPr>
      <w:r>
        <w:rPr>
          <w:rFonts w:ascii="Aptos" w:hAnsi="Aptos"/>
          <w:color w:val="5F6C7B"/>
          <w:sz w:val="18"/>
        </w:rPr>
        <w:t>Figure 3. Email creates the largest revenue gap in favor of Campaign B.</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20364F"/>
          </w:tcPr>
          <w:p>
            <w:pPr>
              <w:jc w:val="left"/>
            </w:pPr>
            <w:r>
              <w:rPr>
                <w:rFonts w:ascii="Aptos" w:hAnsi="Aptos"/>
                <w:b/>
                <w:color w:val="FFFFFF"/>
                <w:sz w:val="20"/>
              </w:rPr>
              <w:t>Channel</w:t>
            </w:r>
          </w:p>
        </w:tc>
        <w:tc>
          <w:tcPr>
            <w:tcW w:type="dxa" w:w="1958"/>
            <w:shd w:fill="20364F"/>
          </w:tcPr>
          <w:p>
            <w:pPr>
              <w:jc w:val="left"/>
            </w:pPr>
            <w:r>
              <w:rPr>
                <w:rFonts w:ascii="Aptos" w:hAnsi="Aptos"/>
                <w:b/>
                <w:color w:val="FFFFFF"/>
                <w:sz w:val="20"/>
              </w:rPr>
              <w:t>B - A Sales</w:t>
            </w:r>
          </w:p>
        </w:tc>
        <w:tc>
          <w:tcPr>
            <w:tcW w:type="dxa" w:w="1958"/>
            <w:shd w:fill="20364F"/>
          </w:tcPr>
          <w:p>
            <w:pPr>
              <w:jc w:val="left"/>
            </w:pPr>
            <w:r>
              <w:rPr>
                <w:rFonts w:ascii="Aptos" w:hAnsi="Aptos"/>
                <w:b/>
                <w:color w:val="FFFFFF"/>
                <w:sz w:val="20"/>
              </w:rPr>
              <w:t>B - A Conversion</w:t>
            </w:r>
          </w:p>
        </w:tc>
        <w:tc>
          <w:tcPr>
            <w:tcW w:type="dxa" w:w="1958"/>
            <w:shd w:fill="20364F"/>
          </w:tcPr>
          <w:p>
            <w:pPr>
              <w:jc w:val="left"/>
            </w:pPr>
            <w:r>
              <w:rPr>
                <w:rFonts w:ascii="Aptos" w:hAnsi="Aptos"/>
                <w:b/>
                <w:color w:val="FFFFFF"/>
                <w:sz w:val="20"/>
              </w:rPr>
              <w:t>B - A Sales / Lead</w:t>
            </w:r>
          </w:p>
        </w:tc>
        <w:tc>
          <w:tcPr>
            <w:tcW w:type="dxa" w:w="1958"/>
            <w:shd w:fill="20364F"/>
          </w:tcPr>
          <w:p>
            <w:pPr>
              <w:jc w:val="left"/>
            </w:pPr>
            <w:r>
              <w:rPr>
                <w:rFonts w:ascii="Aptos" w:hAnsi="Aptos"/>
                <w:b/>
                <w:color w:val="FFFFFF"/>
                <w:sz w:val="20"/>
              </w:rPr>
              <w:t>p-value</w:t>
            </w:r>
          </w:p>
        </w:tc>
      </w:tr>
      <w:tr>
        <w:tc>
          <w:tcPr>
            <w:tcW w:type="dxa" w:w="1958"/>
            <w:shd w:fill="F8F5EF"/>
          </w:tcPr>
          <w:p>
            <w:pPr>
              <w:jc w:val="left"/>
            </w:pPr>
            <w:r>
              <w:rPr>
                <w:rFonts w:ascii="Aptos" w:hAnsi="Aptos"/>
                <w:b w:val="0"/>
                <w:color w:val="1D2A3A"/>
                <w:sz w:val="20"/>
              </w:rPr>
              <w:t>Email</w:t>
            </w:r>
          </w:p>
        </w:tc>
        <w:tc>
          <w:tcPr>
            <w:tcW w:type="dxa" w:w="1958"/>
            <w:shd w:fill="F8F5EF"/>
          </w:tcPr>
          <w:p>
            <w:pPr>
              <w:jc w:val="left"/>
            </w:pPr>
            <w:r>
              <w:rPr>
                <w:rFonts w:ascii="Aptos" w:hAnsi="Aptos"/>
                <w:b w:val="0"/>
                <w:color w:val="1D2A3A"/>
                <w:sz w:val="20"/>
              </w:rPr>
              <w:t>$118,324.43</w:t>
            </w:r>
          </w:p>
        </w:tc>
        <w:tc>
          <w:tcPr>
            <w:tcW w:type="dxa" w:w="1958"/>
            <w:shd w:fill="F8F5EF"/>
          </w:tcPr>
          <w:p>
            <w:pPr>
              <w:jc w:val="left"/>
            </w:pPr>
            <w:r>
              <w:rPr>
                <w:rFonts w:ascii="Aptos" w:hAnsi="Aptos"/>
                <w:b w:val="0"/>
                <w:color w:val="1D2A3A"/>
                <w:sz w:val="20"/>
              </w:rPr>
              <w:t>+0.67 pp</w:t>
            </w:r>
          </w:p>
        </w:tc>
        <w:tc>
          <w:tcPr>
            <w:tcW w:type="dxa" w:w="1958"/>
            <w:shd w:fill="F8F5EF"/>
          </w:tcPr>
          <w:p>
            <w:pPr>
              <w:jc w:val="left"/>
            </w:pPr>
            <w:r>
              <w:rPr>
                <w:rFonts w:ascii="Aptos" w:hAnsi="Aptos"/>
                <w:b w:val="0"/>
                <w:color w:val="1D2A3A"/>
                <w:sz w:val="20"/>
              </w:rPr>
              <w:t>$0.16</w:t>
            </w:r>
          </w:p>
        </w:tc>
        <w:tc>
          <w:tcPr>
            <w:tcW w:type="dxa" w:w="1958"/>
            <w:shd w:fill="F8F5EF"/>
          </w:tcPr>
          <w:p>
            <w:pPr>
              <w:jc w:val="left"/>
            </w:pPr>
            <w:r>
              <w:rPr>
                <w:rFonts w:ascii="Aptos" w:hAnsi="Aptos"/>
                <w:b w:val="0"/>
                <w:color w:val="1D2A3A"/>
                <w:sz w:val="20"/>
              </w:rPr>
              <w:t>0.180</w:t>
            </w:r>
          </w:p>
        </w:tc>
      </w:tr>
      <w:tr>
        <w:tc>
          <w:tcPr>
            <w:tcW w:type="dxa" w:w="1958"/>
          </w:tcPr>
          <w:p>
            <w:pPr>
              <w:jc w:val="left"/>
            </w:pPr>
            <w:r>
              <w:rPr>
                <w:rFonts w:ascii="Aptos" w:hAnsi="Aptos"/>
                <w:b w:val="0"/>
                <w:color w:val="1D2A3A"/>
                <w:sz w:val="20"/>
              </w:rPr>
              <w:t>Web Banner</w:t>
            </w:r>
          </w:p>
        </w:tc>
        <w:tc>
          <w:tcPr>
            <w:tcW w:type="dxa" w:w="1958"/>
          </w:tcPr>
          <w:p>
            <w:pPr>
              <w:jc w:val="left"/>
            </w:pPr>
            <w:r>
              <w:rPr>
                <w:rFonts w:ascii="Aptos" w:hAnsi="Aptos"/>
                <w:b w:val="0"/>
                <w:color w:val="1D2A3A"/>
                <w:sz w:val="20"/>
              </w:rPr>
              <w:t>$88,920.81</w:t>
            </w:r>
          </w:p>
        </w:tc>
        <w:tc>
          <w:tcPr>
            <w:tcW w:type="dxa" w:w="1958"/>
          </w:tcPr>
          <w:p>
            <w:pPr>
              <w:jc w:val="left"/>
            </w:pPr>
            <w:r>
              <w:rPr>
                <w:rFonts w:ascii="Aptos" w:hAnsi="Aptos"/>
                <w:b w:val="0"/>
                <w:color w:val="1D2A3A"/>
                <w:sz w:val="20"/>
              </w:rPr>
              <w:t>-0.05 pp</w:t>
            </w:r>
          </w:p>
        </w:tc>
        <w:tc>
          <w:tcPr>
            <w:tcW w:type="dxa" w:w="1958"/>
          </w:tcPr>
          <w:p>
            <w:pPr>
              <w:jc w:val="left"/>
            </w:pPr>
            <w:r>
              <w:rPr>
                <w:rFonts w:ascii="Aptos" w:hAnsi="Aptos"/>
                <w:b w:val="0"/>
                <w:color w:val="1D2A3A"/>
                <w:sz w:val="20"/>
              </w:rPr>
              <w:t>$-0.02</w:t>
            </w:r>
          </w:p>
        </w:tc>
        <w:tc>
          <w:tcPr>
            <w:tcW w:type="dxa" w:w="1958"/>
          </w:tcPr>
          <w:p>
            <w:pPr>
              <w:jc w:val="left"/>
            </w:pPr>
            <w:r>
              <w:rPr>
                <w:rFonts w:ascii="Aptos" w:hAnsi="Aptos"/>
                <w:b w:val="0"/>
                <w:color w:val="1D2A3A"/>
                <w:sz w:val="20"/>
              </w:rPr>
              <w:t>0.927</w:t>
            </w:r>
          </w:p>
        </w:tc>
      </w:tr>
      <w:tr>
        <w:tc>
          <w:tcPr>
            <w:tcW w:type="dxa" w:w="1958"/>
            <w:shd w:fill="F8F5EF"/>
          </w:tcPr>
          <w:p>
            <w:pPr>
              <w:jc w:val="left"/>
            </w:pPr>
            <w:r>
              <w:rPr>
                <w:rFonts w:ascii="Aptos" w:hAnsi="Aptos"/>
                <w:b w:val="0"/>
                <w:color w:val="1D2A3A"/>
                <w:sz w:val="20"/>
              </w:rPr>
              <w:t>Instagram</w:t>
            </w:r>
          </w:p>
        </w:tc>
        <w:tc>
          <w:tcPr>
            <w:tcW w:type="dxa" w:w="1958"/>
            <w:shd w:fill="F8F5EF"/>
          </w:tcPr>
          <w:p>
            <w:pPr>
              <w:jc w:val="left"/>
            </w:pPr>
            <w:r>
              <w:rPr>
                <w:rFonts w:ascii="Aptos" w:hAnsi="Aptos"/>
                <w:b w:val="0"/>
                <w:color w:val="1D2A3A"/>
                <w:sz w:val="20"/>
              </w:rPr>
              <w:t>$79,752.49</w:t>
            </w:r>
          </w:p>
        </w:tc>
        <w:tc>
          <w:tcPr>
            <w:tcW w:type="dxa" w:w="1958"/>
            <w:shd w:fill="F8F5EF"/>
          </w:tcPr>
          <w:p>
            <w:pPr>
              <w:jc w:val="left"/>
            </w:pPr>
            <w:r>
              <w:rPr>
                <w:rFonts w:ascii="Aptos" w:hAnsi="Aptos"/>
                <w:b w:val="0"/>
                <w:color w:val="1D2A3A"/>
                <w:sz w:val="20"/>
              </w:rPr>
              <w:t>-0.93 pp</w:t>
            </w:r>
          </w:p>
        </w:tc>
        <w:tc>
          <w:tcPr>
            <w:tcW w:type="dxa" w:w="1958"/>
            <w:shd w:fill="F8F5EF"/>
          </w:tcPr>
          <w:p>
            <w:pPr>
              <w:jc w:val="left"/>
            </w:pPr>
            <w:r>
              <w:rPr>
                <w:rFonts w:ascii="Aptos" w:hAnsi="Aptos"/>
                <w:b w:val="0"/>
                <w:color w:val="1D2A3A"/>
                <w:sz w:val="20"/>
              </w:rPr>
              <w:t>$-0.27</w:t>
            </w:r>
          </w:p>
        </w:tc>
        <w:tc>
          <w:tcPr>
            <w:tcW w:type="dxa" w:w="1958"/>
            <w:shd w:fill="F8F5EF"/>
          </w:tcPr>
          <w:p>
            <w:pPr>
              <w:jc w:val="left"/>
            </w:pPr>
            <w:r>
              <w:rPr>
                <w:rFonts w:ascii="Aptos" w:hAnsi="Aptos"/>
                <w:b w:val="0"/>
                <w:color w:val="1D2A3A"/>
                <w:sz w:val="20"/>
              </w:rPr>
              <w:t>0.116</w:t>
            </w:r>
          </w:p>
        </w:tc>
      </w:tr>
    </w:tbl>
    <w:p>
      <w:pPr>
        <w:pStyle w:val="Heading1"/>
        <w:spacing w:before="200" w:after="80"/>
      </w:pPr>
      <w:r>
        <w:rPr>
          <w:rFonts w:ascii="Aptos Display" w:hAnsi="Aptos Display"/>
          <w:b/>
          <w:color w:val="20364F"/>
          <w:sz w:val="30"/>
        </w:rPr>
        <w:t>11. Statistical Interpretation</w:t>
      </w:r>
    </w:p>
    <w:tbl>
      <w:tblPr>
        <w:tblW w:type="auto" w:w="0"/>
        <w:jc w:val="center"/>
        <w:tblLayout w:type="autofit"/>
        <w:tblLook w:firstColumn="1" w:firstRow="1" w:lastColumn="0" w:lastRow="0" w:noHBand="0" w:noVBand="1" w:val="04A0"/>
      </w:tblPr>
      <w:tblGrid>
        <w:gridCol w:w="9792"/>
      </w:tblGrid>
      <w:tr>
        <w:tc>
          <w:tcPr>
            <w:tcW w:type="dxa" w:w="9792"/>
            <w:shd w:fill="EEF5F3"/>
          </w:tcPr>
          <w:p>
            <w:r/>
            <w:r>
              <w:rPr>
                <w:rFonts w:ascii="Aptos Display" w:hAnsi="Aptos Display"/>
                <w:b/>
                <w:color w:val="20364F"/>
                <w:sz w:val="26"/>
              </w:rPr>
              <w:t>What the statistical checks mean</w:t>
            </w:r>
          </w:p>
          <w:p>
            <w:pPr>
              <w:spacing w:after="40"/>
            </w:pPr>
            <w:r>
              <w:rPr>
                <w:rFonts w:ascii="Aptos" w:hAnsi="Aptos"/>
                <w:color w:val="1D2A3A"/>
                <w:sz w:val="21"/>
              </w:rPr>
              <w:t>Overall campaign-level conversion difference: p = 0.965.</w:t>
            </w:r>
          </w:p>
          <w:p>
            <w:pPr>
              <w:spacing w:after="40"/>
            </w:pPr>
            <w:r>
              <w:rPr>
                <w:rFonts w:ascii="Aptos" w:hAnsi="Aptos"/>
                <w:color w:val="1D2A3A"/>
                <w:sz w:val="21"/>
              </w:rPr>
              <w:t>New-customer campaign-level conversion difference: p = 0.384.</w:t>
            </w:r>
          </w:p>
          <w:p>
            <w:pPr>
              <w:spacing w:after="40"/>
            </w:pPr>
            <w:r>
              <w:rPr>
                <w:rFonts w:ascii="Aptos" w:hAnsi="Aptos"/>
                <w:color w:val="1D2A3A"/>
                <w:sz w:val="21"/>
              </w:rPr>
              <w:t>These results indicate that the recommendation should not be framed as a statistically proven conversion-rate winner.</w:t>
            </w:r>
          </w:p>
          <w:p>
            <w:pPr>
              <w:spacing w:after="40"/>
            </w:pPr>
            <w:r>
              <w:rPr>
                <w:rFonts w:ascii="Aptos" w:hAnsi="Aptos"/>
                <w:color w:val="1D2A3A"/>
                <w:sz w:val="21"/>
              </w:rPr>
              <w:t>It should be framed as the strongest commercial performer under equal spend because it delivers the most revenue with stable conversion quality.</w:t>
            </w:r>
          </w:p>
        </w:tc>
      </w:tr>
    </w:tbl>
    <w:p>
      <w:pPr>
        <w:spacing w:after="100" w:line="276" w:lineRule="auto"/>
      </w:pPr>
      <w:r>
        <w:rPr>
          <w:rFonts w:ascii="Aptos" w:hAnsi="Aptos"/>
          <w:color w:val="1D2A3A"/>
          <w:sz w:val="21"/>
        </w:rPr>
        <w:t>This distinction improves the quality of the business recommendation. It prevents overclaiming that Campaign B is universally more persuasive while preserving the correct operational conclusion: when spend is equal, Campaign B + Email is still the best investment because it produces the strongest realized sales outcome.</w:t>
      </w:r>
    </w:p>
    <w:p>
      <w:pPr>
        <w:pStyle w:val="Heading1"/>
        <w:spacing w:before="200" w:after="80"/>
      </w:pPr>
      <w:r>
        <w:rPr>
          <w:rFonts w:ascii="Aptos Display" w:hAnsi="Aptos Display"/>
          <w:b/>
          <w:color w:val="20364F"/>
          <w:sz w:val="30"/>
        </w:rPr>
        <w:t>12. Recommendation and Action Plan</w:t>
      </w:r>
    </w:p>
    <w:p>
      <w:pPr>
        <w:pStyle w:val="ListBullet"/>
        <w:spacing w:after="60"/>
      </w:pPr>
      <w:r>
        <w:rPr>
          <w:rFonts w:ascii="Aptos" w:hAnsi="Aptos"/>
          <w:color w:val="1D2A3A"/>
          <w:sz w:val="21"/>
        </w:rPr>
        <w:t>Primary investment: allocate the next wave of budget to Campaign B + Email.</w:t>
      </w:r>
    </w:p>
    <w:p>
      <w:pPr>
        <w:pStyle w:val="ListBullet"/>
        <w:spacing w:after="60"/>
      </w:pPr>
      <w:r>
        <w:rPr>
          <w:rFonts w:ascii="Aptos" w:hAnsi="Aptos"/>
          <w:color w:val="1D2A3A"/>
          <w:sz w:val="21"/>
        </w:rPr>
        <w:t>Secondary optimization lane: maintain Campaign B + Instagram as the most attractive efficiency-oriented follow-up test.</w:t>
      </w:r>
    </w:p>
    <w:p>
      <w:pPr>
        <w:pStyle w:val="ListBullet"/>
        <w:spacing w:after="60"/>
      </w:pPr>
      <w:r>
        <w:rPr>
          <w:rFonts w:ascii="Aptos" w:hAnsi="Aptos"/>
          <w:color w:val="1D2A3A"/>
          <w:sz w:val="21"/>
        </w:rPr>
        <w:t>Creative benchmark: keep Campaign A + Instagram as the reference point for casual-tone social messaging.</w:t>
      </w:r>
    </w:p>
    <w:p>
      <w:pPr>
        <w:pStyle w:val="ListBullet"/>
        <w:spacing w:after="60"/>
      </w:pPr>
      <w:r>
        <w:rPr>
          <w:rFonts w:ascii="Aptos" w:hAnsi="Aptos"/>
          <w:color w:val="1D2A3A"/>
          <w:sz w:val="21"/>
        </w:rPr>
        <w:t>Next test design: add spend, CPA, and margin so the next decision can be made on full ROI rather than revenue alone.</w:t>
      </w:r>
    </w:p>
    <w:p>
      <w:pPr>
        <w:pStyle w:val="ListBullet"/>
        <w:spacing w:after="60"/>
      </w:pPr>
      <w:r>
        <w:rPr>
          <w:rFonts w:ascii="Aptos" w:hAnsi="Aptos"/>
          <w:color w:val="1D2A3A"/>
          <w:sz w:val="21"/>
        </w:rPr>
        <w:t>Execution priority: refine Campaign B email subject lines, value framing, and calls to action before changing the broader channel mix.</w:t>
      </w:r>
    </w:p>
    <w:p>
      <w:pPr>
        <w:spacing w:after="100" w:line="276" w:lineRule="auto"/>
      </w:pPr>
      <w:r>
        <w:rPr>
          <w:rFonts w:ascii="Aptos" w:hAnsi="Aptos"/>
          <w:color w:val="1D2A3A"/>
          <w:sz w:val="21"/>
        </w:rPr>
        <w:t>In practical terms, the business should not spread budget evenly across all cells in the next wave. The evidence is strong enough to support concentration: use Campaign B + Email as the main deployment, keep Campaign B + Instagram as the secondary optimization track, and preserve Campaign A + Instagram as the reference benchmark for social creative learning.</w:t>
      </w:r>
    </w:p>
    <w:p>
      <w:pPr>
        <w:pStyle w:val="Heading1"/>
        <w:spacing w:before="200" w:after="80"/>
      </w:pPr>
      <w:r>
        <w:rPr>
          <w:rFonts w:ascii="Aptos Display" w:hAnsi="Aptos Display"/>
          <w:b/>
          <w:color w:val="20364F"/>
          <w:sz w:val="30"/>
        </w:rPr>
        <w:t>13. Implementation Roadmap</w:t>
      </w:r>
    </w:p>
    <w:p>
      <w:pPr>
        <w:pStyle w:val="ListBullet"/>
        <w:spacing w:after="60"/>
      </w:pPr>
      <w:r>
        <w:rPr>
          <w:rFonts w:ascii="Aptos" w:hAnsi="Aptos"/>
          <w:color w:val="1D2A3A"/>
          <w:sz w:val="21"/>
        </w:rPr>
        <w:t>Phase 1: shift the highest share of near-term budget into Campaign B + Email.</w:t>
      </w:r>
    </w:p>
    <w:p>
      <w:pPr>
        <w:pStyle w:val="ListBullet"/>
        <w:spacing w:after="60"/>
      </w:pPr>
      <w:r>
        <w:rPr>
          <w:rFonts w:ascii="Aptos" w:hAnsi="Aptos"/>
          <w:color w:val="1D2A3A"/>
          <w:sz w:val="21"/>
        </w:rPr>
        <w:t>Phase 2: run controlled creative tests inside the B + Email lane on subject lines, offer framing, and CTA intensity.</w:t>
      </w:r>
    </w:p>
    <w:p>
      <w:pPr>
        <w:pStyle w:val="ListBullet"/>
        <w:spacing w:after="60"/>
      </w:pPr>
      <w:r>
        <w:rPr>
          <w:rFonts w:ascii="Aptos" w:hAnsi="Aptos"/>
          <w:color w:val="1D2A3A"/>
          <w:sz w:val="21"/>
        </w:rPr>
        <w:t>Phase 3: maintain B + Instagram as a parallel learning lane to preserve efficient audience reach.</w:t>
      </w:r>
    </w:p>
    <w:p>
      <w:pPr>
        <w:pStyle w:val="ListBullet"/>
        <w:spacing w:after="60"/>
      </w:pPr>
      <w:r>
        <w:rPr>
          <w:rFonts w:ascii="Aptos" w:hAnsi="Aptos"/>
          <w:color w:val="1D2A3A"/>
          <w:sz w:val="21"/>
        </w:rPr>
        <w:t>Phase 4: add media cost, CPA, margin, and retention tracking to support a full ROI decision in the next measurement cycle.</w:t>
      </w:r>
    </w:p>
    <w:p>
      <w:pPr>
        <w:pStyle w:val="Heading1"/>
        <w:spacing w:before="200" w:after="80"/>
      </w:pPr>
      <w:r>
        <w:rPr>
          <w:rFonts w:ascii="Aptos Display" w:hAnsi="Aptos Display"/>
          <w:b/>
          <w:color w:val="20364F"/>
          <w:sz w:val="30"/>
        </w:rPr>
        <w:t>14. Limitations</w:t>
      </w:r>
    </w:p>
    <w:p>
      <w:pPr>
        <w:pStyle w:val="ListBullet"/>
        <w:spacing w:after="60"/>
      </w:pPr>
      <w:r>
        <w:rPr>
          <w:rFonts w:ascii="Aptos" w:hAnsi="Aptos"/>
          <w:color w:val="1D2A3A"/>
          <w:sz w:val="21"/>
        </w:rPr>
        <w:t>The dataset does not include media cost, CPA, or margin, so this is a revenue-optimization recommendation rather than a complete ROI model.</w:t>
      </w:r>
    </w:p>
    <w:p>
      <w:pPr>
        <w:pStyle w:val="ListBullet"/>
        <w:spacing w:after="60"/>
      </w:pPr>
      <w:r>
        <w:rPr>
          <w:rFonts w:ascii="Aptos" w:hAnsi="Aptos"/>
          <w:color w:val="1D2A3A"/>
          <w:sz w:val="21"/>
        </w:rPr>
        <w:t>The sample covers one week only, so seasonality, fatigue, and longer-term retention effects are not observable.</w:t>
      </w:r>
    </w:p>
    <w:p>
      <w:pPr>
        <w:pStyle w:val="ListBullet"/>
        <w:spacing w:after="60"/>
      </w:pPr>
      <w:r>
        <w:rPr>
          <w:rFonts w:ascii="Aptos" w:hAnsi="Aptos"/>
          <w:color w:val="1D2A3A"/>
          <w:sz w:val="21"/>
        </w:rPr>
        <w:t>The statistical checks focus on conversion-rate differences and do not estimate incremental lift against a no-campaign control group.</w:t>
      </w:r>
    </w:p>
    <w:p>
      <w:pPr>
        <w:pStyle w:val="Heading1"/>
        <w:spacing w:before="200" w:after="80"/>
      </w:pPr>
      <w:r>
        <w:rPr>
          <w:rFonts w:ascii="Aptos Display" w:hAnsi="Aptos Display"/>
          <w:b/>
          <w:color w:val="20364F"/>
          <w:sz w:val="30"/>
        </w:rPr>
        <w:t>15. Appendix: Data Dictionary</w:t>
      </w:r>
    </w:p>
    <w:tbl>
      <w:tblPr>
        <w:tblStyle w:val="TableGrid"/>
        <w:tblW w:type="auto" w:w="0"/>
        <w:jc w:val="center"/>
        <w:tblLook w:firstColumn="1" w:firstRow="1" w:lastColumn="0" w:lastRow="0" w:noHBand="0" w:noVBand="1" w:val="04A0"/>
      </w:tblPr>
      <w:tblGrid>
        <w:gridCol w:w="4896"/>
        <w:gridCol w:w="4896"/>
      </w:tblGrid>
      <w:tr>
        <w:tc>
          <w:tcPr>
            <w:tcW w:type="dxa" w:w="4896"/>
            <w:shd w:fill="20364F"/>
          </w:tcPr>
          <w:p>
            <w:pPr>
              <w:jc w:val="left"/>
            </w:pPr>
            <w:r>
              <w:rPr>
                <w:rFonts w:ascii="Aptos" w:hAnsi="Aptos"/>
                <w:b/>
                <w:color w:val="FFFFFF"/>
                <w:sz w:val="20"/>
              </w:rPr>
              <w:t>Field</w:t>
            </w:r>
          </w:p>
        </w:tc>
        <w:tc>
          <w:tcPr>
            <w:tcW w:type="dxa" w:w="4896"/>
            <w:shd w:fill="20364F"/>
          </w:tcPr>
          <w:p>
            <w:pPr>
              <w:jc w:val="left"/>
            </w:pPr>
            <w:r>
              <w:rPr>
                <w:rFonts w:ascii="Aptos" w:hAnsi="Aptos"/>
                <w:b/>
                <w:color w:val="FFFFFF"/>
                <w:sz w:val="20"/>
              </w:rPr>
              <w:t>Description</w:t>
            </w:r>
          </w:p>
        </w:tc>
      </w:tr>
      <w:tr>
        <w:tc>
          <w:tcPr>
            <w:tcW w:type="dxa" w:w="4896"/>
            <w:shd w:fill="F8F5EF"/>
          </w:tcPr>
          <w:p>
            <w:pPr>
              <w:jc w:val="left"/>
            </w:pPr>
            <w:r>
              <w:rPr>
                <w:rFonts w:ascii="Aptos" w:hAnsi="Aptos"/>
                <w:b w:val="0"/>
                <w:color w:val="1D2A3A"/>
                <w:sz w:val="20"/>
              </w:rPr>
              <w:t>Interaction ID</w:t>
            </w:r>
          </w:p>
        </w:tc>
        <w:tc>
          <w:tcPr>
            <w:tcW w:type="dxa" w:w="4896"/>
            <w:shd w:fill="F8F5EF"/>
          </w:tcPr>
          <w:p>
            <w:pPr>
              <w:jc w:val="left"/>
            </w:pPr>
            <w:r>
              <w:rPr>
                <w:rFonts w:ascii="Aptos" w:hAnsi="Aptos"/>
                <w:b w:val="0"/>
                <w:color w:val="1D2A3A"/>
                <w:sz w:val="20"/>
              </w:rPr>
              <w:t>Unique identifier for each observed campaign interaction.</w:t>
            </w:r>
          </w:p>
        </w:tc>
      </w:tr>
      <w:tr>
        <w:tc>
          <w:tcPr>
            <w:tcW w:type="dxa" w:w="4896"/>
          </w:tcPr>
          <w:p>
            <w:pPr>
              <w:jc w:val="left"/>
            </w:pPr>
            <w:r>
              <w:rPr>
                <w:rFonts w:ascii="Aptos" w:hAnsi="Aptos"/>
                <w:b w:val="0"/>
                <w:color w:val="1D2A3A"/>
                <w:sz w:val="20"/>
              </w:rPr>
              <w:t>Campaign Type</w:t>
            </w:r>
          </w:p>
        </w:tc>
        <w:tc>
          <w:tcPr>
            <w:tcW w:type="dxa" w:w="4896"/>
          </w:tcPr>
          <w:p>
            <w:pPr>
              <w:jc w:val="left"/>
            </w:pPr>
            <w:r>
              <w:rPr>
                <w:rFonts w:ascii="Aptos" w:hAnsi="Aptos"/>
                <w:b w:val="0"/>
                <w:color w:val="1D2A3A"/>
                <w:sz w:val="20"/>
              </w:rPr>
              <w:t>Creative family used in the test: A = casual tone, B = sales-oriented tone.</w:t>
            </w:r>
          </w:p>
        </w:tc>
      </w:tr>
      <w:tr>
        <w:tc>
          <w:tcPr>
            <w:tcW w:type="dxa" w:w="4896"/>
            <w:shd w:fill="F8F5EF"/>
          </w:tcPr>
          <w:p>
            <w:pPr>
              <w:jc w:val="left"/>
            </w:pPr>
            <w:r>
              <w:rPr>
                <w:rFonts w:ascii="Aptos" w:hAnsi="Aptos"/>
                <w:b w:val="0"/>
                <w:color w:val="1D2A3A"/>
                <w:sz w:val="20"/>
              </w:rPr>
              <w:t>Channel</w:t>
            </w:r>
          </w:p>
        </w:tc>
        <w:tc>
          <w:tcPr>
            <w:tcW w:type="dxa" w:w="4896"/>
            <w:shd w:fill="F8F5EF"/>
          </w:tcPr>
          <w:p>
            <w:pPr>
              <w:jc w:val="left"/>
            </w:pPr>
            <w:r>
              <w:rPr>
                <w:rFonts w:ascii="Aptos" w:hAnsi="Aptos"/>
                <w:b w:val="0"/>
                <w:color w:val="1D2A3A"/>
                <w:sz w:val="20"/>
              </w:rPr>
              <w:t>Transmission channel used to deliver the campaign message.</w:t>
            </w:r>
          </w:p>
        </w:tc>
      </w:tr>
      <w:tr>
        <w:tc>
          <w:tcPr>
            <w:tcW w:type="dxa" w:w="4896"/>
          </w:tcPr>
          <w:p>
            <w:pPr>
              <w:jc w:val="left"/>
            </w:pPr>
            <w:r>
              <w:rPr>
                <w:rFonts w:ascii="Aptos" w:hAnsi="Aptos"/>
                <w:b w:val="0"/>
                <w:color w:val="1D2A3A"/>
                <w:sz w:val="20"/>
              </w:rPr>
              <w:t>Customer Type</w:t>
            </w:r>
          </w:p>
        </w:tc>
        <w:tc>
          <w:tcPr>
            <w:tcW w:type="dxa" w:w="4896"/>
          </w:tcPr>
          <w:p>
            <w:pPr>
              <w:jc w:val="left"/>
            </w:pPr>
            <w:r>
              <w:rPr>
                <w:rFonts w:ascii="Aptos" w:hAnsi="Aptos"/>
                <w:b w:val="0"/>
                <w:color w:val="1D2A3A"/>
                <w:sz w:val="20"/>
              </w:rPr>
              <w:t>Whether the observation belongs to an existing or new customer.</w:t>
            </w:r>
          </w:p>
        </w:tc>
      </w:tr>
      <w:tr>
        <w:tc>
          <w:tcPr>
            <w:tcW w:type="dxa" w:w="4896"/>
            <w:shd w:fill="F8F5EF"/>
          </w:tcPr>
          <w:p>
            <w:pPr>
              <w:jc w:val="left"/>
            </w:pPr>
            <w:r>
              <w:rPr>
                <w:rFonts w:ascii="Aptos" w:hAnsi="Aptos"/>
                <w:b w:val="0"/>
                <w:color w:val="1D2A3A"/>
                <w:sz w:val="20"/>
              </w:rPr>
              <w:t>Converted (1=yes, 0=no)</w:t>
            </w:r>
          </w:p>
        </w:tc>
        <w:tc>
          <w:tcPr>
            <w:tcW w:type="dxa" w:w="4896"/>
            <w:shd w:fill="F8F5EF"/>
          </w:tcPr>
          <w:p>
            <w:pPr>
              <w:jc w:val="left"/>
            </w:pPr>
            <w:r>
              <w:rPr>
                <w:rFonts w:ascii="Aptos" w:hAnsi="Aptos"/>
                <w:b w:val="0"/>
                <w:color w:val="1D2A3A"/>
                <w:sz w:val="20"/>
              </w:rPr>
              <w:t>Binary outcome indicating whether the interaction converted.</w:t>
            </w:r>
          </w:p>
        </w:tc>
      </w:tr>
      <w:tr>
        <w:tc>
          <w:tcPr>
            <w:tcW w:type="dxa" w:w="4896"/>
          </w:tcPr>
          <w:p>
            <w:pPr>
              <w:jc w:val="left"/>
            </w:pPr>
            <w:r>
              <w:rPr>
                <w:rFonts w:ascii="Aptos" w:hAnsi="Aptos"/>
                <w:b w:val="0"/>
                <w:color w:val="1D2A3A"/>
                <w:sz w:val="20"/>
              </w:rPr>
              <w:t>Time on Site (seconds)</w:t>
            </w:r>
          </w:p>
        </w:tc>
        <w:tc>
          <w:tcPr>
            <w:tcW w:type="dxa" w:w="4896"/>
          </w:tcPr>
          <w:p>
            <w:pPr>
              <w:jc w:val="left"/>
            </w:pPr>
            <w:r>
              <w:rPr>
                <w:rFonts w:ascii="Aptos" w:hAnsi="Aptos"/>
                <w:b w:val="0"/>
                <w:color w:val="1D2A3A"/>
                <w:sz w:val="20"/>
              </w:rPr>
              <w:t>Observed engagement time after the interaction.</w:t>
            </w:r>
          </w:p>
        </w:tc>
      </w:tr>
      <w:tr>
        <w:tc>
          <w:tcPr>
            <w:tcW w:type="dxa" w:w="4896"/>
            <w:shd w:fill="F8F5EF"/>
          </w:tcPr>
          <w:p>
            <w:pPr>
              <w:jc w:val="left"/>
            </w:pPr>
            <w:r>
              <w:rPr>
                <w:rFonts w:ascii="Aptos" w:hAnsi="Aptos"/>
                <w:b w:val="0"/>
                <w:color w:val="1D2A3A"/>
                <w:sz w:val="20"/>
              </w:rPr>
              <w:t>Sales ($)</w:t>
            </w:r>
          </w:p>
        </w:tc>
        <w:tc>
          <w:tcPr>
            <w:tcW w:type="dxa" w:w="4896"/>
            <w:shd w:fill="F8F5EF"/>
          </w:tcPr>
          <w:p>
            <w:pPr>
              <w:jc w:val="left"/>
            </w:pPr>
            <w:r>
              <w:rPr>
                <w:rFonts w:ascii="Aptos" w:hAnsi="Aptos"/>
                <w:b w:val="0"/>
                <w:color w:val="1D2A3A"/>
                <w:sz w:val="20"/>
              </w:rPr>
              <w:t>Observed revenue associated with the interaction.</w:t>
            </w:r>
          </w:p>
        </w:tc>
      </w:tr>
    </w:tbl>
    <w:p>
      <w:r>
        <w:br w:type="page"/>
      </w:r>
    </w:p>
    <w:p>
      <w:pPr>
        <w:pStyle w:val="Heading1"/>
        <w:spacing w:before="200" w:after="80"/>
      </w:pPr>
      <w:r>
        <w:rPr>
          <w:rFonts w:ascii="Aptos Display" w:hAnsi="Aptos Display"/>
          <w:b/>
          <w:color w:val="20364F"/>
          <w:sz w:val="30"/>
        </w:rPr>
        <w:t>16. Approval Request</w:t>
      </w:r>
    </w:p>
    <w:tbl>
      <w:tblPr>
        <w:tblW w:type="auto" w:w="0"/>
        <w:jc w:val="center"/>
        <w:tblLayout w:type="autofit"/>
        <w:tblLook w:firstColumn="1" w:firstRow="1" w:lastColumn="0" w:lastRow="0" w:noHBand="0" w:noVBand="1" w:val="04A0"/>
      </w:tblPr>
      <w:tblGrid>
        <w:gridCol w:w="9792"/>
      </w:tblGrid>
      <w:tr>
        <w:tc>
          <w:tcPr>
            <w:tcW w:type="dxa" w:w="9792"/>
            <w:shd w:fill="EEF5F3"/>
          </w:tcPr>
          <w:p>
            <w:r/>
            <w:r>
              <w:rPr>
                <w:rFonts w:ascii="Aptos Display" w:hAnsi="Aptos Display"/>
                <w:b/>
                <w:color w:val="20364F"/>
                <w:sz w:val="26"/>
              </w:rPr>
              <w:t>Decision requested from stakeholders</w:t>
            </w:r>
          </w:p>
          <w:p>
            <w:pPr>
              <w:spacing w:after="40"/>
            </w:pPr>
            <w:r>
              <w:rPr>
                <w:rFonts w:ascii="Aptos" w:hAnsi="Aptos"/>
                <w:color w:val="1D2A3A"/>
                <w:sz w:val="21"/>
              </w:rPr>
              <w:t>Approve Campaign B + Email as the primary investment option for the next budget wave.</w:t>
            </w:r>
          </w:p>
          <w:p>
            <w:pPr>
              <w:spacing w:after="40"/>
            </w:pPr>
            <w:r>
              <w:rPr>
                <w:rFonts w:ascii="Aptos" w:hAnsi="Aptos"/>
                <w:color w:val="1D2A3A"/>
                <w:sz w:val="21"/>
              </w:rPr>
              <w:t>Approve Campaign B + Instagram as the secondary optimization lane for efficient follow-up testing.</w:t>
            </w:r>
          </w:p>
          <w:p>
            <w:pPr>
              <w:spacing w:after="40"/>
            </w:pPr>
            <w:r>
              <w:rPr>
                <w:rFonts w:ascii="Aptos" w:hAnsi="Aptos"/>
                <w:color w:val="1D2A3A"/>
                <w:sz w:val="21"/>
              </w:rPr>
              <w:t>Approve a next-test measurement upgrade that adds spend, CPA, and margin so the following decision can be made on full ROI.</w:t>
            </w:r>
          </w:p>
        </w:tc>
      </w:tr>
    </w:tbl>
    <w:p>
      <w:pPr>
        <w:spacing w:after="100" w:line="276" w:lineRule="auto"/>
      </w:pPr>
      <w:r>
        <w:rPr>
          <w:rFonts w:ascii="Aptos" w:hAnsi="Aptos"/>
          <w:color w:val="1D2A3A"/>
          <w:sz w:val="21"/>
        </w:rPr>
        <w:t>The recommendation is ready for action because B + Email generated $533,036.65 under equal spend and also remained the top-performing option in the new-customer view. The remaining uncertainty is not about which option won this test. It is about what additional cost and profitability data should be tracked in the next cycle.</w:t>
      </w:r>
    </w:p>
    <w:p>
      <w:pPr>
        <w:pStyle w:val="ListBullet"/>
        <w:spacing w:after="60"/>
      </w:pPr>
      <w:r>
        <w:rPr>
          <w:rFonts w:ascii="Aptos" w:hAnsi="Aptos"/>
          <w:color w:val="1D2A3A"/>
          <w:sz w:val="21"/>
        </w:rPr>
        <w:t>Decision owner: approve the next campaign allocation using the current revenue-based recommendation.</w:t>
      </w:r>
    </w:p>
    <w:p>
      <w:pPr>
        <w:pStyle w:val="ListBullet"/>
        <w:spacing w:after="60"/>
      </w:pPr>
      <w:r>
        <w:rPr>
          <w:rFonts w:ascii="Aptos" w:hAnsi="Aptos"/>
          <w:color w:val="1D2A3A"/>
          <w:sz w:val="21"/>
        </w:rPr>
        <w:t>Execution owner: deploy the B + Email creative and targeting updates first, before expanding broader channel changes.</w:t>
      </w:r>
    </w:p>
    <w:p>
      <w:pPr>
        <w:pStyle w:val="ListBullet"/>
        <w:spacing w:after="60"/>
      </w:pPr>
      <w:r>
        <w:rPr>
          <w:rFonts w:ascii="Aptos" w:hAnsi="Aptos"/>
          <w:color w:val="1D2A3A"/>
          <w:sz w:val="21"/>
        </w:rPr>
        <w:t>Measurement owner: add spend, CPA, margin, and retention tracking in the next experiment design.</w:t>
      </w:r>
    </w:p>
    <w:p>
      <w:pPr>
        <w:jc w:val="center"/>
      </w:pPr>
      <w:r>
        <w:rPr>
          <w:rFonts w:ascii="Aptos" w:hAnsi="Aptos"/>
          <w:color w:val="2F7F7B"/>
          <w:sz w:val="18"/>
        </w:rPr>
        <w:t>Prepared from the completed notebook analysis, dashboard, and stakeholder presentation outputs.</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C7B"/>
        <w:sz w:val="18"/>
      </w:rPr>
      <w:t xml:space="preserve">Page </w:t>
    </w:r>
    <w:r>
      <w:fldChar w:fldCharType="begin"/>
    </w:r>
    <w:r>
      <w:instrText xml:space="preserve">PAGE</w:instrText>
    </w:r>
    <w:r>
      <w:fldChar w:fldCharType="separate"/>
    </w:r>
    <w:r>
      <w:rPr>
        <w:rFonts w:ascii="Aptos" w:hAnsi="Aptos"/>
        <w:color w:val="5F6C7B"/>
        <w:sz w:val="18"/>
      </w:rP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F6C7B"/>
        <w:sz w:val="18"/>
      </w:rPr>
      <w:t>Marketing Campaign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