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20364F"/>
          <w:sz w:val="36"/>
        </w:rPr>
        <w:t>Executive Memo: Marketing Investment Decision</w:t>
      </w:r>
    </w:p>
    <w:p>
      <w:pPr>
        <w:spacing w:after="120"/>
        <w:jc w:val="center"/>
      </w:pPr>
      <w:r>
        <w:rPr>
          <w:rFonts w:ascii="Aptos" w:hAnsi="Aptos"/>
          <w:color w:val="5F6C7B"/>
          <w:sz w:val="19"/>
        </w:rPr>
        <w:t>Prepared on 2026-04-20 | One-week equal-spend campaign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364F"/>
          </w:tcPr>
          <w:p>
            <w:r/>
            <w:r>
              <w:rPr>
                <w:rFonts w:ascii="Aptos Display" w:hAnsi="Aptos Display"/>
                <w:b/>
                <w:color w:val="FFFFFF"/>
                <w:sz w:val="26"/>
              </w:rPr>
              <w:t>Primary Recommendation</w:t>
            </w:r>
          </w:p>
          <w:p>
            <w:pPr>
              <w:spacing w:after="40"/>
            </w:pPr>
            <w:r>
              <w:rPr>
                <w:rFonts w:ascii="Aptos" w:hAnsi="Aptos"/>
                <w:color w:val="FFFFFF"/>
                <w:sz w:val="21"/>
              </w:rPr>
              <w:t>Invest in B + Email.</w:t>
            </w:r>
          </w:p>
          <w:p>
            <w:pPr>
              <w:spacing w:after="40"/>
            </w:pPr>
            <w:r>
              <w:rPr>
                <w:rFonts w:ascii="Aptos" w:hAnsi="Aptos"/>
                <w:color w:val="FFFFFF"/>
                <w:sz w:val="21"/>
              </w:rPr>
              <w:t>It generated $533,036.65, beating the runner-up by $118,324.43.</w:t>
            </w:r>
          </w:p>
          <w:p>
            <w:pPr>
              <w:spacing w:after="40"/>
            </w:pPr>
            <w:r>
              <w:rPr>
                <w:rFonts w:ascii="Aptos" w:hAnsi="Aptos"/>
                <w:color w:val="FFFFFF"/>
                <w:sz w:val="21"/>
              </w:rPr>
              <w:t>It also ranked first for new-customer sales at $225,285.52.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35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overall_revenue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C7B"/>
          <w:sz w:val="18"/>
        </w:rPr>
        <w:t>Executive view. Revenue leadership by campaign and channel under equal spend.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20364F"/>
          <w:sz w:val="30"/>
        </w:rPr>
        <w:t>1. Decision Context</w:t>
      </w:r>
    </w:p>
    <w:p>
      <w:pPr>
        <w:spacing w:after="100" w:line="276" w:lineRule="auto"/>
      </w:pPr>
      <w:r>
        <w:rPr>
          <w:rFonts w:ascii="Aptos" w:hAnsi="Aptos"/>
          <w:color w:val="1D2A3A"/>
          <w:sz w:val="21"/>
        </w:rPr>
        <w:t>This memo summarizes a one-week equal-spend test used to identify the best campaign and channel for the next investment wave. Because every campaign-channel cell received the same spend, the right decision rule is to prioritize the option that generated the most revenue while confirming that the result also holds in the new-customer view.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20364F"/>
          <w:sz w:val="30"/>
        </w:rPr>
        <w:t>2. Why This Decision Holds</w:t>
      </w:r>
    </w:p>
    <w:p>
      <w:pPr>
        <w:pStyle w:val="ListBullet"/>
        <w:spacing w:after="60"/>
      </w:pPr>
      <w:r>
        <w:rPr>
          <w:rFonts w:ascii="Aptos" w:hAnsi="Aptos"/>
          <w:color w:val="1D2A3A"/>
          <w:sz w:val="21"/>
        </w:rPr>
        <w:t>Email is the highest-revenue channel overall at $947,748.87, so it offers the largest commercial upside.</w:t>
      </w:r>
    </w:p>
    <w:p>
      <w:pPr>
        <w:pStyle w:val="ListBullet"/>
        <w:spacing w:after="60"/>
      </w:pPr>
      <w:r>
        <w:rPr>
          <w:rFonts w:ascii="Aptos" w:hAnsi="Aptos"/>
          <w:color w:val="1D2A3A"/>
          <w:sz w:val="21"/>
        </w:rPr>
        <w:t>The winner is stable in acquisition as well, which reduces risk for future growth objectives.</w:t>
      </w:r>
    </w:p>
    <w:p>
      <w:pPr>
        <w:pStyle w:val="ListBullet"/>
        <w:spacing w:after="60"/>
      </w:pPr>
      <w:r>
        <w:rPr>
          <w:rFonts w:ascii="Aptos" w:hAnsi="Aptos"/>
          <w:color w:val="1D2A3A"/>
          <w:sz w:val="21"/>
        </w:rPr>
        <w:t>The overall conversion difference between Campaign B and Campaign A is not statistically decisive (p = 0.965), so this is a revenue-and-scale decision rather than a conversion-lift decision.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20364F"/>
          <w:sz w:val="30"/>
        </w:rPr>
        <w:t>3. Supporting Evidence</w:t>
      </w:r>
    </w:p>
    <w:p>
      <w:pPr>
        <w:pStyle w:val="ListBullet"/>
        <w:spacing w:after="60"/>
      </w:pPr>
      <w:r>
        <w:rPr>
          <w:rFonts w:ascii="Aptos" w:hAnsi="Aptos"/>
          <w:color w:val="1D2A3A"/>
          <w:sz w:val="21"/>
        </w:rPr>
        <w:t>Primary winner: B + Email produced $533,036.65 from 23,065 interactions.</w:t>
      </w:r>
    </w:p>
    <w:p>
      <w:pPr>
        <w:pStyle w:val="ListBullet"/>
        <w:spacing w:after="60"/>
      </w:pPr>
      <w:r>
        <w:rPr>
          <w:rFonts w:ascii="Aptos" w:hAnsi="Aptos"/>
          <w:color w:val="1D2A3A"/>
          <w:sz w:val="21"/>
        </w:rPr>
        <w:t>Runner-up gap: the next-best option trailed by $118,324.43, which is large enough to support a concentrated investment decision.</w:t>
      </w:r>
    </w:p>
    <w:p>
      <w:pPr>
        <w:pStyle w:val="ListBullet"/>
        <w:spacing w:after="60"/>
      </w:pPr>
      <w:r>
        <w:rPr>
          <w:rFonts w:ascii="Aptos" w:hAnsi="Aptos"/>
          <w:color w:val="1D2A3A"/>
          <w:sz w:val="21"/>
        </w:rPr>
        <w:t>Acquisition check: B + Email also ranked first among new customers at $225,285.52.</w:t>
      </w:r>
    </w:p>
    <w:p>
      <w:pPr>
        <w:pStyle w:val="ListBullet"/>
        <w:spacing w:after="60"/>
      </w:pPr>
      <w:r>
        <w:rPr>
          <w:rFonts w:ascii="Aptos" w:hAnsi="Aptos"/>
          <w:color w:val="1D2A3A"/>
          <w:sz w:val="21"/>
        </w:rPr>
        <w:t>Secondary lane: B + Instagram remains attractive for efficiency testing at $23.46 per new-customer interaction.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741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new_customer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1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C7B"/>
          <w:sz w:val="18"/>
        </w:rPr>
        <w:t>Acquisition view. The same recommendation leads in the new-customer slice.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20364F"/>
          <w:sz w:val="30"/>
        </w:rPr>
        <w:t>4. Immediate Actions</w:t>
      </w:r>
    </w:p>
    <w:p>
      <w:pPr>
        <w:pStyle w:val="ListBullet"/>
        <w:spacing w:after="60"/>
      </w:pPr>
      <w:r>
        <w:rPr>
          <w:rFonts w:ascii="Aptos" w:hAnsi="Aptos"/>
          <w:color w:val="1D2A3A"/>
          <w:sz w:val="21"/>
        </w:rPr>
        <w:t>Allocate the next budget wave to Campaign B + Email.</w:t>
      </w:r>
    </w:p>
    <w:p>
      <w:pPr>
        <w:pStyle w:val="ListBullet"/>
        <w:spacing w:after="60"/>
      </w:pPr>
      <w:r>
        <w:rPr>
          <w:rFonts w:ascii="Aptos" w:hAnsi="Aptos"/>
          <w:color w:val="1D2A3A"/>
          <w:sz w:val="21"/>
        </w:rPr>
        <w:t>Keep Campaign B + Instagram as the secondary optimization lane.</w:t>
      </w:r>
    </w:p>
    <w:p>
      <w:pPr>
        <w:pStyle w:val="ListBullet"/>
        <w:spacing w:after="60"/>
      </w:pPr>
      <w:r>
        <w:rPr>
          <w:rFonts w:ascii="Aptos" w:hAnsi="Aptos"/>
          <w:color w:val="1D2A3A"/>
          <w:sz w:val="21"/>
        </w:rPr>
        <w:t>Add spend, CPA, and margin tracking in the next test so the next decision can be based on ROI as well as revenue.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20364F"/>
          <w:sz w:val="30"/>
        </w:rPr>
        <w:t>5. Risks and Caveats</w:t>
      </w:r>
    </w:p>
    <w:p>
      <w:pPr>
        <w:pStyle w:val="ListBullet"/>
        <w:spacing w:after="60"/>
      </w:pPr>
      <w:r>
        <w:rPr>
          <w:rFonts w:ascii="Aptos" w:hAnsi="Aptos"/>
          <w:color w:val="1D2A3A"/>
          <w:sz w:val="21"/>
        </w:rPr>
        <w:t>The dataset does not include media cost, margin, or CPA, so this is a revenue-based recommendation rather than a full profitability ranking.</w:t>
      </w:r>
    </w:p>
    <w:p>
      <w:pPr>
        <w:pStyle w:val="ListBullet"/>
        <w:spacing w:after="60"/>
      </w:pPr>
      <w:r>
        <w:rPr>
          <w:rFonts w:ascii="Aptos" w:hAnsi="Aptos"/>
          <w:color w:val="1D2A3A"/>
          <w:sz w:val="21"/>
        </w:rPr>
        <w:t>The test covers one week only, and the conversion gap is not statistically decisive, so the recommendation should be framed as the strongest commercial performer under equal spend.</w:t>
      </w:r>
    </w:p>
    <w:p>
      <w:pPr>
        <w:jc w:val="center"/>
      </w:pPr>
      <w:r>
        <w:rPr>
          <w:rFonts w:ascii="Aptos" w:hAnsi="Aptos"/>
          <w:color w:val="2F7F7B"/>
          <w:sz w:val="18"/>
        </w:rPr>
        <w:t>Dataset snapshot: 100,000 interactions, no missing values, $2,314,742.53 in observed sales.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C7B"/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rPr>
        <w:rFonts w:ascii="Aptos" w:hAnsi="Aptos"/>
        <w:color w:val="5F6C7B"/>
        <w:sz w:val="18"/>
      </w:rPr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5F6C7B"/>
        <w:sz w:val="18"/>
      </w:rPr>
      <w:t>Marketing Campaign Executive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