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Stakeholder Meeting Brief</w:t>
      </w:r>
    </w:p>
    <w:p>
      <w:pPr>
        <w:jc w:val="center"/>
      </w:pPr>
      <w:r>
        <w:rPr>
          <w:rFonts w:ascii="Aptos" w:hAnsi="Aptos"/>
          <w:sz w:val="20"/>
        </w:rPr>
        <w:t>Marketing campaign recommendation pre-read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Recommendation</w:t>
      </w:r>
    </w:p>
    <w:p>
      <w:pPr>
        <w:spacing w:after="80"/>
      </w:pPr>
      <w:r>
        <w:rPr>
          <w:rFonts w:ascii="Aptos" w:hAnsi="Aptos"/>
          <w:sz w:val="21"/>
        </w:rPr>
        <w:t>Approve B + Email as the primary investment option for the next budget wave.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Why This Decision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It generated $533,036.65 under equal spend, the highest total revenue in the test.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It beat the runner-up by $118,324.43.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It also ranked first among new customers at $225,285.52, reducing growth risk.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Main Caveat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This is a revenue-based recommendation because the dataset does not include spend, CPA, or profit margin.</w:t>
      </w:r>
    </w:p>
    <w:p>
      <w:pPr>
        <w:spacing w:before="160" w:after="80"/>
      </w:pPr>
      <w:r>
        <w:rPr>
          <w:rFonts w:ascii="Aptos Display" w:hAnsi="Aptos Display"/>
          <w:b/>
          <w:sz w:val="26"/>
        </w:rPr>
        <w:t>Decision Requested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Approve B + Email as the main deployment.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Approve B + Instagram as the secondary optimization lane.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Approve a follow-up test that adds spend, CPA, and margin tracking.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