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Campaign Executive Report</w:t>
      </w:r>
    </w:p>
    <w:p>
      <w:r>
        <w:t>English version generated from the campaign analysis dataset.</w:t>
      </w:r>
    </w:p>
    <w:p>
      <w:pPr>
        <w:pStyle w:val="Heading1"/>
      </w:pPr>
      <w:r>
        <w:t>KPI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interactions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$2,314,742.53</w:t>
            </w:r>
          </w:p>
        </w:tc>
      </w:tr>
      <w:tr>
        <w:tc>
          <w:tcPr>
            <w:tcW w:type="dxa" w:w="4320"/>
          </w:tcPr>
          <w:p>
            <w:r>
              <w:t>Conversion rate</w:t>
            </w:r>
          </w:p>
        </w:tc>
        <w:tc>
          <w:tcPr>
            <w:tcW w:type="dxa" w:w="4320"/>
          </w:tcPr>
          <w:p>
            <w:r>
              <w:t>47.71%</w:t>
            </w:r>
          </w:p>
        </w:tc>
      </w:tr>
      <w:tr>
        <w:tc>
          <w:tcPr>
            <w:tcW w:type="dxa" w:w="4320"/>
          </w:tcPr>
          <w:p>
            <w:r>
              <w:t>Avg time on site</w:t>
            </w:r>
          </w:p>
        </w:tc>
        <w:tc>
          <w:tcPr>
            <w:tcW w:type="dxa" w:w="4320"/>
          </w:tcPr>
          <w:p>
            <w:r>
              <w:t>134.57 sec</w:t>
            </w:r>
          </w:p>
        </w:tc>
      </w:tr>
      <w:tr>
        <w:tc>
          <w:tcPr>
            <w:tcW w:type="dxa" w:w="4320"/>
          </w:tcPr>
          <w:p>
            <w:r>
              <w:t>Avg ticket (converted)</w:t>
            </w:r>
          </w:p>
        </w:tc>
        <w:tc>
          <w:tcPr>
            <w:tcW w:type="dxa" w:w="4320"/>
          </w:tcPr>
          <w:p>
            <w:r>
              <w:t>$48.52</w:t>
            </w:r>
          </w:p>
        </w:tc>
      </w:tr>
    </w:tbl>
    <w:p>
      <w:pPr>
        <w:pStyle w:val="Heading1"/>
      </w:pPr>
      <w:r>
        <w:t>Key Findings</w:t>
      </w:r>
    </w:p>
    <w:p>
      <w:pPr>
        <w:pStyle w:val="ListBullet"/>
      </w:pPr>
      <w:r>
        <w:t>Top revenue combination is B + Email.</w:t>
      </w:r>
    </w:p>
    <w:p>
      <w:pPr>
        <w:pStyle w:val="ListBullet"/>
      </w:pPr>
      <w:r>
        <w:t>Email is a major revenue driver.</w:t>
      </w:r>
    </w:p>
    <w:p>
      <w:pPr>
        <w:pStyle w:val="ListBullet"/>
      </w:pPr>
      <w:r>
        <w:t>Campaign B scales efficiently with strong volume.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Scale budget on the leading campaign-channel combination.</w:t>
      </w:r>
    </w:p>
    <w:p>
      <w:pPr>
        <w:pStyle w:val="ListNumber"/>
      </w:pPr>
      <w:r>
        <w:t>Run channel-level A/B tests for creative and landing pages.</w:t>
      </w:r>
    </w:p>
    <w:p>
      <w:pPr>
        <w:pStyle w:val="ListNumber"/>
      </w:pPr>
      <w:r>
        <w:t>Separate acquisition strategy for new and existing customers.</w:t>
      </w:r>
    </w:p>
    <w:p>
      <w:pPr>
        <w:pStyle w:val="ListNumber"/>
      </w:pPr>
      <w:r>
        <w:t>Track KPI thresholds weekly and rebalance budget quickly.</w:t>
      </w:r>
    </w:p>
    <w:p>
      <w:r>
        <w:drawing>
          <wp:inline xmlns:a="http://schemas.openxmlformats.org/drawingml/2006/main" xmlns:pic="http://schemas.openxmlformats.org/drawingml/2006/picture">
            <wp:extent cx="585216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by_channel_campa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