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52"/>
        </w:rPr>
        <w:t>Playbook de Braze para Kueski</w:t>
      </w:r>
    </w:p>
    <w:p>
      <w:pPr>
        <w:spacing w:after="120"/>
      </w:pPr>
      <w:r>
        <w:t>Versión 1. 15 de octubre de 2026. Periodo analizado: enero a septiembre de 2026 (9 meses, 729 M filas de envío, 3,439 comunicaciones, 1,821 familias).</w:t>
      </w:r>
    </w:p>
    <w:p>
      <w:pPr>
        <w:pStyle w:val="Heading2"/>
      </w:pPr>
      <w:r>
        <w:t>Para qué sirve este documento</w:t>
      </w:r>
    </w:p>
    <w:p>
      <w:pPr>
        <w:spacing w:after="120"/>
      </w:pPr>
      <w:r>
        <w:t xml:space="preserve">Dice, en concreto, cómo se usa Braze en Kueski: cómo se nombra cada cosa, qué segmentos existen, a quién no se le escribe, cuántas veces se puede escribir, por qué canal, con qué gancho, cuándo, cómo se mide y cuándo se apaga. Las reglas no salen de la industria: salen de comparar nuestras propias comunicaciones entre sí durante nueve meses. Cada regla trae la cifra que la justifica y la celda del Sheets </w:t>
      </w:r>
      <w:r>
        <w:rPr>
          <w:rFonts w:ascii="Consolas" w:hAnsi="Consolas" w:eastAsia="Consolas"/>
          <w:color w:val="1F4E79"/>
        </w:rPr>
        <w:t>braze_auditoria_v3</w:t>
      </w:r>
      <w:r>
        <w:t xml:space="preserve"> donde se puede volver a ver.</w:t>
      </w:r>
    </w:p>
    <w:p>
      <w:pPr>
        <w:spacing w:after="120"/>
      </w:pPr>
      <w:r>
        <w:t>Se usa de tres maneras:</w:t>
      </w:r>
    </w:p>
    <w:p>
      <w:pPr>
        <w:pStyle w:val="ListBullet"/>
      </w:pPr>
      <w:r>
        <w:rPr>
          <w:b/>
        </w:rPr>
        <w:t>Voy a crear algo nuevo.</w:t>
      </w:r>
      <w:r>
        <w:t xml:space="preserve"> Ir a la Parte D, sección D1 (guía paso a paso) y a la Parte C para la dimensión que aplique (equipo, canal, audiencia, gancho).</w:t>
      </w:r>
    </w:p>
    <w:p>
      <w:pPr>
        <w:pStyle w:val="ListBullet"/>
      </w:pPr>
      <w:r>
        <w:rPr>
          <w:b/>
        </w:rPr>
        <w:t>Quiero mejorar algo que ya existe.</w:t>
      </w:r>
      <w:r>
        <w:t xml:space="preserve"> Buscar la familia en la pestaña Campañas del Sheets, leer su acción, y aplicar la receta de D2.</w:t>
      </w:r>
    </w:p>
    <w:p>
      <w:pPr>
        <w:pStyle w:val="ListBullet"/>
      </w:pPr>
      <w:r>
        <w:rPr>
          <w:b/>
        </w:rPr>
        <w:t>Quiero poner orden.</w:t>
      </w:r>
      <w:r>
        <w:t xml:space="preserve"> Parte A (nomenclatura, segmentos, tags, grupos de suscripción, limpieza) y Parte B (reglas globales que se configuran una vez en Braze).</w:t>
      </w:r>
    </w:p>
    <w:p>
      <w:pPr>
        <w:spacing w:after="120"/>
      </w:pPr>
      <w:r>
        <w:t>Convenciones del documento: respuesta = clic en email, apertura en push, lectura en WhatsApp, clic en in-app. Conversión solo como referencia (</w:t>
      </w:r>
      <w:r>
        <w:rPr>
          <w:rFonts w:ascii="Consolas" w:hAnsi="Consolas" w:eastAsia="Consolas"/>
          <w:color w:val="1F4E79"/>
        </w:rPr>
        <w:t>is_converted</w:t>
      </w:r>
      <w:r>
        <w:t xml:space="preserve"> a 7 días), salvo en "convierten los que abren contra los que no abren". Costos con los parámetros default del Sheets: email 0.05 MXN por enviado, WhatsApp 1.00 MXN por entregado, push e in-app 0. "Familia" = comunicación sin la fecha del nombre. Todo es agregado, sin identificadores de usuario.</w:t>
      </w:r>
    </w:p>
    <w:p>
      <w:pPr>
        <w:pStyle w:val="Heading2"/>
      </w:pPr>
      <w:r>
        <w:t>Lo que este documento todavía no puede decir</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956"/>
            <w:shd w:val="clear" w:color="auto" w:fill="E8EEF4"/>
          </w:tcPr>
          <w:p>
            <w:pPr>
              <w:spacing w:after="0"/>
            </w:pPr>
            <w:r>
              <w:rPr>
                <w:b/>
              </w:rPr>
            </w:r>
            <w:r>
              <w:rPr>
                <w:b/>
                <w:sz w:val="17"/>
              </w:rPr>
              <w:t>Dimensión pedida</w:t>
            </w:r>
          </w:p>
        </w:tc>
        <w:tc>
          <w:tcPr>
            <w:tcW w:type="dxa" w:w="1367"/>
            <w:shd w:val="clear" w:color="auto" w:fill="E8EEF4"/>
          </w:tcPr>
          <w:p>
            <w:pPr>
              <w:spacing w:after="0"/>
            </w:pPr>
            <w:r>
              <w:rPr>
                <w:b/>
              </w:rPr>
            </w:r>
            <w:r>
              <w:rPr>
                <w:b/>
                <w:sz w:val="17"/>
              </w:rPr>
              <w:t>Estado</w:t>
            </w:r>
          </w:p>
        </w:tc>
        <w:tc>
          <w:tcPr>
            <w:tcW w:type="dxa" w:w="4315"/>
            <w:shd w:val="clear" w:color="auto" w:fill="E8EEF4"/>
          </w:tcPr>
          <w:p>
            <w:pPr>
              <w:spacing w:after="0"/>
            </w:pPr>
            <w:r>
              <w:rPr>
                <w:b/>
              </w:rPr>
            </w:r>
            <w:r>
              <w:rPr>
                <w:b/>
                <w:sz w:val="17"/>
              </w:rPr>
              <w:t>Por qué y qué sigue</w:t>
            </w:r>
          </w:p>
        </w:tc>
      </w:tr>
      <w:tr>
        <w:tc>
          <w:tcPr>
            <w:tcW w:type="dxa" w:w="3956"/>
          </w:tcPr>
          <w:p>
            <w:pPr>
              <w:spacing w:after="0"/>
            </w:pPr>
            <w:r/>
            <w:r>
              <w:rPr>
                <w:sz w:val="17"/>
              </w:rPr>
              <w:t>Tags de Braze</w:t>
            </w:r>
          </w:p>
        </w:tc>
        <w:tc>
          <w:tcPr>
            <w:tcW w:type="dxa" w:w="1367"/>
          </w:tcPr>
          <w:p>
            <w:pPr>
              <w:spacing w:after="0"/>
            </w:pPr>
            <w:r/>
            <w:r>
              <w:rPr>
                <w:sz w:val="17"/>
              </w:rPr>
              <w:t>Sin dato</w:t>
            </w:r>
          </w:p>
        </w:tc>
        <w:tc>
          <w:tcPr>
            <w:tcW w:type="dxa" w:w="4315"/>
          </w:tcPr>
          <w:p>
            <w:pPr>
              <w:spacing w:after="0"/>
            </w:pPr>
            <w:r/>
            <w:r>
              <w:rPr>
                <w:sz w:val="17"/>
              </w:rPr>
              <w:t>Los catálogos de Databricks (</w:t>
            </w:r>
            <w:r>
              <w:rPr>
                <w:rFonts w:ascii="Consolas" w:hAnsi="Consolas" w:eastAsia="Consolas"/>
                <w:color w:val="1F4E79"/>
                <w:sz w:val="17"/>
              </w:rPr>
              <w:t>_dim_braze_campaign</w:t>
            </w:r>
            <w:r>
              <w:rPr>
                <w:sz w:val="17"/>
              </w:rPr>
              <w:t xml:space="preserve">, </w:t>
            </w:r>
            <w:r>
              <w:rPr>
                <w:rFonts w:ascii="Consolas" w:hAnsi="Consolas" w:eastAsia="Consolas"/>
                <w:color w:val="1F4E79"/>
                <w:sz w:val="17"/>
              </w:rPr>
              <w:t>_dim_braze_canvas</w:t>
            </w:r>
            <w:r>
              <w:rPr>
                <w:sz w:val="17"/>
              </w:rPr>
              <w:t>) no traen tags. La regla de tags de A5 es de diseño, no de diagnóstico. Si alguien del equipo de Braze exporta la lista de campañas con tags (un CSV desde el admin), se audita en una hora.</w:t>
            </w:r>
          </w:p>
        </w:tc>
      </w:tr>
      <w:tr>
        <w:tc>
          <w:tcPr>
            <w:tcW w:type="dxa" w:w="3956"/>
          </w:tcPr>
          <w:p>
            <w:pPr>
              <w:spacing w:after="0"/>
            </w:pPr>
            <w:r/>
            <w:r>
              <w:rPr>
                <w:sz w:val="17"/>
              </w:rPr>
              <w:t>Tipo de celular (iOS, Android)</w:t>
            </w:r>
          </w:p>
        </w:tc>
        <w:tc>
          <w:tcPr>
            <w:tcW w:type="dxa" w:w="1367"/>
          </w:tcPr>
          <w:p>
            <w:pPr>
              <w:spacing w:after="0"/>
            </w:pPr>
            <w:r/>
            <w:r>
              <w:rPr>
                <w:sz w:val="17"/>
              </w:rPr>
              <w:t>Bloqueada</w:t>
            </w:r>
          </w:p>
        </w:tc>
        <w:tc>
          <w:tcPr>
            <w:tcW w:type="dxa" w:w="4315"/>
          </w:tcPr>
          <w:p>
            <w:pPr>
              <w:spacing w:after="0"/>
            </w:pPr>
            <w:r/>
            <w:r>
              <w:rPr>
                <w:rFonts w:ascii="Consolas" w:hAnsi="Consolas" w:eastAsia="Consolas"/>
                <w:color w:val="1F4E79"/>
                <w:sz w:val="17"/>
              </w:rPr>
              <w:t>_dim_braze_device</w:t>
            </w:r>
            <w:r>
              <w:rPr>
                <w:sz w:val="17"/>
              </w:rPr>
              <w:t xml:space="preserve"> no tiene llave hacia la tabla de envíos. No se puede cruzar.</w:t>
            </w:r>
          </w:p>
        </w:tc>
      </w:tr>
      <w:tr>
        <w:tc>
          <w:tcPr>
            <w:tcW w:type="dxa" w:w="3956"/>
          </w:tcPr>
          <w:p>
            <w:pPr>
              <w:spacing w:after="0"/>
            </w:pPr>
            <w:r/>
            <w:r>
              <w:rPr>
                <w:sz w:val="17"/>
              </w:rPr>
              <w:t>Hora del día</w:t>
            </w:r>
          </w:p>
        </w:tc>
        <w:tc>
          <w:tcPr>
            <w:tcW w:type="dxa" w:w="1367"/>
          </w:tcPr>
          <w:p>
            <w:pPr>
              <w:spacing w:after="0"/>
            </w:pPr>
            <w:r/>
            <w:r>
              <w:rPr>
                <w:sz w:val="17"/>
              </w:rPr>
              <w:t>Bloqueada</w:t>
            </w:r>
          </w:p>
        </w:tc>
        <w:tc>
          <w:tcPr>
            <w:tcW w:type="dxa" w:w="4315"/>
          </w:tcPr>
          <w:p>
            <w:pPr>
              <w:spacing w:after="0"/>
            </w:pPr>
            <w:r/>
            <w:r>
              <w:rPr>
                <w:sz w:val="17"/>
              </w:rPr>
              <w:t>La tabla de envíos solo trae fecha, no hora.</w:t>
            </w:r>
          </w:p>
        </w:tc>
      </w:tr>
      <w:tr>
        <w:tc>
          <w:tcPr>
            <w:tcW w:type="dxa" w:w="3956"/>
          </w:tcPr>
          <w:p>
            <w:pPr>
              <w:spacing w:after="0"/>
            </w:pPr>
            <w:r/>
            <w:r>
              <w:rPr>
                <w:sz w:val="17"/>
              </w:rPr>
              <w:t>Región o estado</w:t>
            </w:r>
          </w:p>
        </w:tc>
        <w:tc>
          <w:tcPr>
            <w:tcW w:type="dxa" w:w="1367"/>
          </w:tcPr>
          <w:p>
            <w:pPr>
              <w:spacing w:after="0"/>
            </w:pPr>
            <w:r/>
            <w:r>
              <w:rPr>
                <w:sz w:val="17"/>
              </w:rPr>
              <w:t>No disponible</w:t>
            </w:r>
          </w:p>
        </w:tc>
        <w:tc>
          <w:tcPr>
            <w:tcW w:type="dxa" w:w="4315"/>
          </w:tcPr>
          <w:p>
            <w:pPr>
              <w:spacing w:after="0"/>
            </w:pPr>
            <w:r/>
            <w:r>
              <w:rPr>
                <w:sz w:val="17"/>
              </w:rPr>
              <w:t>Ninguna tabla trae geografía.</w:t>
            </w:r>
          </w:p>
        </w:tc>
      </w:tr>
      <w:tr>
        <w:tc>
          <w:tcPr>
            <w:tcW w:type="dxa" w:w="3956"/>
          </w:tcPr>
          <w:p>
            <w:pPr>
              <w:spacing w:after="0"/>
            </w:pPr>
            <w:r/>
            <w:r>
              <w:rPr>
                <w:sz w:val="17"/>
              </w:rPr>
              <w:t>Día de la semana</w:t>
            </w:r>
          </w:p>
        </w:tc>
        <w:tc>
          <w:tcPr>
            <w:tcW w:type="dxa" w:w="1367"/>
          </w:tcPr>
          <w:p>
            <w:pPr>
              <w:spacing w:after="0"/>
            </w:pPr>
            <w:r/>
            <w:r>
              <w:rPr>
                <w:sz w:val="17"/>
              </w:rPr>
              <w:t>Pendiente de correr</w:t>
            </w:r>
          </w:p>
        </w:tc>
        <w:tc>
          <w:tcPr>
            <w:tcW w:type="dxa" w:w="4315"/>
          </w:tcPr>
          <w:p>
            <w:pPr>
              <w:spacing w:after="0"/>
            </w:pPr>
            <w:r/>
            <w:r>
              <w:rPr>
                <w:sz w:val="17"/>
              </w:rPr>
              <w:t xml:space="preserve">Query E10 en </w:t>
            </w:r>
            <w:r>
              <w:rPr>
                <w:rFonts w:ascii="Consolas" w:hAnsi="Consolas" w:eastAsia="Consolas"/>
                <w:color w:val="1F4E79"/>
                <w:sz w:val="17"/>
              </w:rPr>
              <w:t>sql/extraccion.sql</w:t>
            </w:r>
            <w:r>
              <w:rPr>
                <w:sz w:val="17"/>
              </w:rPr>
              <w:t xml:space="preserve"> (archivo esperado </w:t>
            </w:r>
            <w:r>
              <w:rPr>
                <w:rFonts w:ascii="Consolas" w:hAnsi="Consolas" w:eastAsia="Consolas"/>
                <w:color w:val="1F4E79"/>
                <w:sz w:val="17"/>
              </w:rPr>
              <w:t>e10_dia_semana.csv</w:t>
            </w:r>
            <w:r>
              <w:rPr>
                <w:sz w:val="17"/>
              </w:rPr>
              <w:t>).</w:t>
            </w:r>
          </w:p>
        </w:tc>
      </w:tr>
      <w:tr>
        <w:tc>
          <w:tcPr>
            <w:tcW w:type="dxa" w:w="3956"/>
          </w:tcPr>
          <w:p>
            <w:pPr>
              <w:spacing w:after="0"/>
            </w:pPr>
            <w:r/>
            <w:r>
              <w:rPr>
                <w:sz w:val="17"/>
              </w:rPr>
              <w:t>Segmentación real de Braze (segment, subsegment, group)</w:t>
            </w:r>
          </w:p>
        </w:tc>
        <w:tc>
          <w:tcPr>
            <w:tcW w:type="dxa" w:w="1367"/>
          </w:tcPr>
          <w:p>
            <w:pPr>
              <w:spacing w:after="0"/>
            </w:pPr>
            <w:r/>
            <w:r>
              <w:rPr>
                <w:sz w:val="17"/>
              </w:rPr>
              <w:t>Pendiente de correr</w:t>
            </w:r>
          </w:p>
        </w:tc>
        <w:tc>
          <w:tcPr>
            <w:tcW w:type="dxa" w:w="4315"/>
          </w:tcPr>
          <w:p>
            <w:pPr>
              <w:spacing w:after="0"/>
            </w:pPr>
            <w:r/>
            <w:r>
              <w:rPr>
                <w:sz w:val="17"/>
              </w:rPr>
              <w:t>Query E11 (</w:t>
            </w:r>
            <w:r>
              <w:rPr>
                <w:rFonts w:ascii="Consolas" w:hAnsi="Consolas" w:eastAsia="Consolas"/>
                <w:color w:val="1F4E79"/>
                <w:sz w:val="17"/>
              </w:rPr>
              <w:t>e11_segmentacion.csv</w:t>
            </w:r>
            <w:r>
              <w:rPr>
                <w:sz w:val="17"/>
              </w:rPr>
              <w:t>). Hoy la segmentación se lee por el nombre de la comunicación.</w:t>
            </w:r>
          </w:p>
        </w:tc>
      </w:tr>
      <w:tr>
        <w:tc>
          <w:tcPr>
            <w:tcW w:type="dxa" w:w="3956"/>
          </w:tcPr>
          <w:p>
            <w:pPr>
              <w:spacing w:after="0"/>
            </w:pPr>
            <w:r/>
            <w:r>
              <w:rPr>
                <w:sz w:val="17"/>
              </w:rPr>
              <w:t>Antigüedad del usuario</w:t>
            </w:r>
          </w:p>
        </w:tc>
        <w:tc>
          <w:tcPr>
            <w:tcW w:type="dxa" w:w="1367"/>
          </w:tcPr>
          <w:p>
            <w:pPr>
              <w:spacing w:after="0"/>
            </w:pPr>
            <w:r/>
            <w:r>
              <w:rPr>
                <w:sz w:val="17"/>
              </w:rPr>
              <w:t>Pendiente de correr</w:t>
            </w:r>
          </w:p>
        </w:tc>
        <w:tc>
          <w:tcPr>
            <w:tcW w:type="dxa" w:w="4315"/>
          </w:tcPr>
          <w:p>
            <w:pPr>
              <w:spacing w:after="0"/>
            </w:pPr>
            <w:r/>
            <w:r>
              <w:rPr>
                <w:sz w:val="17"/>
              </w:rPr>
              <w:t>Query E12 (</w:t>
            </w:r>
            <w:r>
              <w:rPr>
                <w:rFonts w:ascii="Consolas" w:hAnsi="Consolas" w:eastAsia="Consolas"/>
                <w:color w:val="1F4E79"/>
                <w:sz w:val="17"/>
              </w:rPr>
              <w:t>e12_antiguedad.csv</w:t>
            </w:r>
            <w:r>
              <w:rPr>
                <w:sz w:val="17"/>
              </w:rPr>
              <w:t xml:space="preserve">); requiere confirmar la columna de fecha de alta en </w:t>
            </w:r>
            <w:r>
              <w:rPr>
                <w:rFonts w:ascii="Consolas" w:hAnsi="Consolas" w:eastAsia="Consolas"/>
                <w:color w:val="1F4E79"/>
                <w:sz w:val="17"/>
              </w:rPr>
              <w:t>_dim_braze_users</w:t>
            </w:r>
            <w:r>
              <w:rPr>
                <w:sz w:val="17"/>
              </w:rPr>
              <w:t>.</w:t>
            </w:r>
          </w:p>
        </w:tc>
      </w:tr>
    </w:tbl>
    <w:p>
      <w:pPr>
        <w:spacing w:after="40"/>
      </w:pPr>
    </w:p>
    <w:p>
      <w:pPr>
        <w:spacing w:after="120"/>
      </w:pPr>
      <w:r>
        <w:t>Cuando lleguen E10, E11 y E12, se agregan las secciones C10 a C12 y se corrige lo que cambie.</w:t>
      </w:r>
    </w:p>
    <w:p>
      <w:pPr>
        <w:pStyle w:val="Heading1"/>
        <w:pageBreakBefore/>
      </w:pPr>
      <w:r>
        <w:t>Parte A. Cómo está armado Braze hoy y cómo debe quedar</w:t>
      </w:r>
    </w:p>
    <w:p>
      <w:pPr>
        <w:pStyle w:val="Heading2"/>
      </w:pPr>
      <w:r>
        <w:t>A1. Diagnóstico de orden (lo que vimos en el catálogo)</w:t>
      </w:r>
    </w:p>
    <w:p>
      <w:pPr>
        <w:spacing w:after="120"/>
      </w:pPr>
      <w:r>
        <w:t xml:space="preserve">Fuente: </w:t>
      </w:r>
      <w:r>
        <w:rPr>
          <w:rFonts w:ascii="Consolas" w:hAnsi="Consolas" w:eastAsia="Consolas"/>
          <w:color w:val="1F4E79"/>
        </w:rPr>
        <w:t>data/e2_catalogo.csv</w:t>
      </w:r>
      <w:r>
        <w:t xml:space="preserve"> (6,144 piezas: 5,173 Canvas y 971 campañas; 5,958 archivadas y 186 activas) y la tabla de envíos.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542"/>
            <w:shd w:val="clear" w:color="auto" w:fill="E8EEF4"/>
          </w:tcPr>
          <w:p>
            <w:pPr>
              <w:spacing w:after="0"/>
            </w:pPr>
            <w:r>
              <w:rPr>
                <w:b/>
              </w:rPr>
            </w:r>
            <w:r>
              <w:rPr>
                <w:b/>
                <w:sz w:val="17"/>
              </w:rPr>
              <w:t>Problema</w:t>
            </w:r>
          </w:p>
        </w:tc>
        <w:tc>
          <w:tcPr>
            <w:tcW w:type="dxa" w:w="3548"/>
            <w:shd w:val="clear" w:color="auto" w:fill="E8EEF4"/>
          </w:tcPr>
          <w:p>
            <w:pPr>
              <w:spacing w:after="0"/>
            </w:pPr>
            <w:r>
              <w:rPr>
                <w:b/>
              </w:rPr>
            </w:r>
            <w:r>
              <w:rPr>
                <w:b/>
                <w:sz w:val="17"/>
              </w:rPr>
              <w:t>Cifra</w:t>
            </w:r>
          </w:p>
        </w:tc>
        <w:tc>
          <w:tcPr>
            <w:tcW w:type="dxa" w:w="3548"/>
            <w:shd w:val="clear" w:color="auto" w:fill="E8EEF4"/>
          </w:tcPr>
          <w:p>
            <w:pPr>
              <w:spacing w:after="0"/>
            </w:pPr>
            <w:r>
              <w:rPr>
                <w:b/>
              </w:rPr>
            </w:r>
            <w:r>
              <w:rPr>
                <w:b/>
                <w:sz w:val="17"/>
              </w:rPr>
              <w:t>Efecto</w:t>
            </w:r>
          </w:p>
        </w:tc>
      </w:tr>
      <w:tr>
        <w:tc>
          <w:tcPr>
            <w:tcW w:type="dxa" w:w="2542"/>
          </w:tcPr>
          <w:p>
            <w:pPr>
              <w:spacing w:after="0"/>
            </w:pPr>
            <w:r/>
            <w:r>
              <w:rPr>
                <w:sz w:val="17"/>
              </w:rPr>
              <w:t>Piezas sin ticket en el nombre</w:t>
            </w:r>
          </w:p>
        </w:tc>
        <w:tc>
          <w:tcPr>
            <w:tcW w:type="dxa" w:w="3548"/>
          </w:tcPr>
          <w:p>
            <w:pPr>
              <w:spacing w:after="0"/>
            </w:pPr>
            <w:r/>
            <w:r>
              <w:rPr>
                <w:sz w:val="17"/>
              </w:rPr>
              <w:t>749 de 6,144 (12 %). En la operación activa: 87.4 % de los envíos sí traen ticket, pero Others solo 48.7 % (Estándares, fila 24)</w:t>
            </w:r>
          </w:p>
        </w:tc>
        <w:tc>
          <w:tcPr>
            <w:tcW w:type="dxa" w:w="3548"/>
          </w:tcPr>
          <w:p>
            <w:pPr>
              <w:spacing w:after="0"/>
            </w:pPr>
            <w:r/>
            <w:r>
              <w:rPr>
                <w:sz w:val="17"/>
              </w:rPr>
              <w:t>No se sabe quién pidió qué ni para qué</w:t>
            </w:r>
          </w:p>
        </w:tc>
      </w:tr>
      <w:tr>
        <w:tc>
          <w:tcPr>
            <w:tcW w:type="dxa" w:w="2542"/>
          </w:tcPr>
          <w:p>
            <w:pPr>
              <w:spacing w:after="0"/>
            </w:pPr>
            <w:r/>
            <w:r>
              <w:rPr>
                <w:sz w:val="17"/>
              </w:rPr>
              <w:t>Nombres fuera de convención</w:t>
            </w:r>
          </w:p>
        </w:tc>
        <w:tc>
          <w:tcPr>
            <w:tcW w:type="dxa" w:w="3548"/>
          </w:tcPr>
          <w:p>
            <w:pPr>
              <w:spacing w:after="0"/>
            </w:pPr>
            <w:r/>
            <w:r>
              <w:rPr>
                <w:sz w:val="17"/>
              </w:rPr>
              <w:t>1,053 (17.1 %)</w:t>
            </w:r>
          </w:p>
        </w:tc>
        <w:tc>
          <w:tcPr>
            <w:tcW w:type="dxa" w:w="3548"/>
          </w:tcPr>
          <w:p>
            <w:pPr>
              <w:spacing w:after="0"/>
            </w:pPr>
            <w:r/>
            <w:r>
              <w:rPr>
                <w:sz w:val="17"/>
              </w:rPr>
              <w:t xml:space="preserve">La columna </w:t>
            </w:r>
            <w:r>
              <w:rPr>
                <w:rFonts w:ascii="Consolas" w:hAnsi="Consolas" w:eastAsia="Consolas"/>
                <w:color w:val="1F4E79"/>
                <w:sz w:val="17"/>
              </w:rPr>
              <w:t>team</w:t>
            </w:r>
            <w:r>
              <w:rPr>
                <w:sz w:val="17"/>
              </w:rPr>
              <w:t xml:space="preserve"> del catálogo tiene 60 valores: "Maketing", "Copy of Copy of Marketing", nombres de personas, "CONFIGURACION"</w:t>
            </w:r>
          </w:p>
        </w:tc>
      </w:tr>
      <w:tr>
        <w:tc>
          <w:tcPr>
            <w:tcW w:type="dxa" w:w="2542"/>
          </w:tcPr>
          <w:p>
            <w:pPr>
              <w:spacing w:after="0"/>
            </w:pPr>
            <w:r/>
            <w:r>
              <w:rPr>
                <w:sz w:val="17"/>
              </w:rPr>
              <w:t>Valores distintos de audiencia en el nombre</w:t>
            </w:r>
          </w:p>
        </w:tc>
        <w:tc>
          <w:tcPr>
            <w:tcW w:type="dxa" w:w="3548"/>
          </w:tcPr>
          <w:p>
            <w:pPr>
              <w:spacing w:after="0"/>
            </w:pPr>
            <w:r/>
            <w:r>
              <w:rPr>
                <w:sz w:val="17"/>
              </w:rPr>
              <w:t>731</w:t>
            </w:r>
          </w:p>
        </w:tc>
        <w:tc>
          <w:tcPr>
            <w:tcW w:type="dxa" w:w="3548"/>
          </w:tcPr>
          <w:p>
            <w:pPr>
              <w:spacing w:after="0"/>
            </w:pPr>
            <w:r/>
            <w:r>
              <w:rPr>
                <w:sz w:val="17"/>
              </w:rPr>
              <w:t>La misma audiencia se escribe de 10 formas ("Recurrentes", "Recurrentes_Todos", "Recurentes_...", "NuevosRecurrentes")</w:t>
            </w:r>
          </w:p>
        </w:tc>
      </w:tr>
      <w:tr>
        <w:tc>
          <w:tcPr>
            <w:tcW w:type="dxa" w:w="2542"/>
          </w:tcPr>
          <w:p>
            <w:pPr>
              <w:spacing w:after="0"/>
            </w:pPr>
            <w:r/>
            <w:r>
              <w:rPr>
                <w:sz w:val="17"/>
              </w:rPr>
              <w:t>Valores distintos de oferta o gancho</w:t>
            </w:r>
          </w:p>
        </w:tc>
        <w:tc>
          <w:tcPr>
            <w:tcW w:type="dxa" w:w="3548"/>
          </w:tcPr>
          <w:p>
            <w:pPr>
              <w:spacing w:after="0"/>
            </w:pPr>
            <w:r/>
            <w:r>
              <w:rPr>
                <w:sz w:val="17"/>
              </w:rPr>
              <w:t>1,050</w:t>
            </w:r>
          </w:p>
        </w:tc>
        <w:tc>
          <w:tcPr>
            <w:tcW w:type="dxa" w:w="3548"/>
          </w:tcPr>
          <w:p>
            <w:pPr>
              <w:spacing w:after="0"/>
            </w:pPr>
            <w:r/>
            <w:r>
              <w:rPr>
                <w:sz w:val="17"/>
              </w:rPr>
              <w:t>"Tasa0", "Tasa0Blast", "RescateTasa0", "Tasa0BlastEnero" son el mismo gancho</w:t>
            </w:r>
          </w:p>
        </w:tc>
      </w:tr>
      <w:tr>
        <w:tc>
          <w:tcPr>
            <w:tcW w:type="dxa" w:w="2542"/>
          </w:tcPr>
          <w:p>
            <w:pPr>
              <w:spacing w:after="0"/>
            </w:pPr>
            <w:r/>
            <w:r>
              <w:rPr>
                <w:sz w:val="17"/>
              </w:rPr>
              <w:t>Posición "grupo" sin uso</w:t>
            </w:r>
          </w:p>
        </w:tc>
        <w:tc>
          <w:tcPr>
            <w:tcW w:type="dxa" w:w="3548"/>
          </w:tcPr>
          <w:p>
            <w:pPr>
              <w:spacing w:after="0"/>
            </w:pPr>
            <w:r/>
            <w:r>
              <w:rPr>
                <w:sz w:val="17"/>
              </w:rPr>
              <w:t>1,604 piezas con "Not Tracked"</w:t>
            </w:r>
          </w:p>
        </w:tc>
        <w:tc>
          <w:tcPr>
            <w:tcW w:type="dxa" w:w="3548"/>
          </w:tcPr>
          <w:p>
            <w:pPr>
              <w:spacing w:after="0"/>
            </w:pPr>
            <w:r/>
            <w:r>
              <w:rPr>
                <w:sz w:val="17"/>
              </w:rPr>
              <w:t>La posición pensada para control o variante se usa para cualquier cosa ("MultitestEmailBDDDaniMata", 73 piezas)</w:t>
            </w:r>
          </w:p>
        </w:tc>
      </w:tr>
      <w:tr>
        <w:tc>
          <w:tcPr>
            <w:tcW w:type="dxa" w:w="2542"/>
          </w:tcPr>
          <w:p>
            <w:pPr>
              <w:spacing w:after="0"/>
            </w:pPr>
            <w:r/>
            <w:r>
              <w:rPr>
                <w:sz w:val="17"/>
              </w:rPr>
              <w:t>Piezas de prueba o copia</w:t>
            </w:r>
          </w:p>
        </w:tc>
        <w:tc>
          <w:tcPr>
            <w:tcW w:type="dxa" w:w="3548"/>
          </w:tcPr>
          <w:p>
            <w:pPr>
              <w:spacing w:after="0"/>
            </w:pPr>
            <w:r/>
            <w:r>
              <w:rPr>
                <w:sz w:val="17"/>
              </w:rPr>
              <w:t>657 con QA, Test, Prueba, Check o "Copy of" en el nombre; 171 enviaron en el periodo: 7.26 M envíos a 5.9 M usuarios reales</w:t>
            </w:r>
          </w:p>
        </w:tc>
        <w:tc>
          <w:tcPr>
            <w:tcW w:type="dxa" w:w="3548"/>
          </w:tcPr>
          <w:p>
            <w:pPr>
              <w:spacing w:after="0"/>
            </w:pPr>
            <w:r/>
            <w:r>
              <w:rPr>
                <w:sz w:val="17"/>
              </w:rPr>
              <w:t xml:space="preserve">Un Canvas </w:t>
            </w:r>
            <w:r>
              <w:rPr>
                <w:rFonts w:ascii="Consolas" w:hAnsi="Consolas" w:eastAsia="Consolas"/>
                <w:color w:val="1F4E79"/>
                <w:sz w:val="17"/>
              </w:rPr>
              <w:t>QA-KPay-B001 ReminderRegistroTelefono</w:t>
            </w:r>
            <w:r>
              <w:rPr>
                <w:sz w:val="17"/>
              </w:rPr>
              <w:t xml:space="preserve"> mandó 1.87 M push con 0.01 % de apertura</w:t>
            </w:r>
          </w:p>
        </w:tc>
      </w:tr>
      <w:tr>
        <w:tc>
          <w:tcPr>
            <w:tcW w:type="dxa" w:w="2542"/>
          </w:tcPr>
          <w:p>
            <w:pPr>
              <w:spacing w:after="0"/>
            </w:pPr>
            <w:r/>
            <w:r>
              <w:rPr>
                <w:sz w:val="17"/>
              </w:rPr>
              <w:t>Versiones de la misma familia</w:t>
            </w:r>
          </w:p>
        </w:tc>
        <w:tc>
          <w:tcPr>
            <w:tcW w:type="dxa" w:w="3548"/>
          </w:tcPr>
          <w:p>
            <w:pPr>
              <w:spacing w:after="0"/>
            </w:pPr>
            <w:r/>
            <w:r>
              <w:rPr>
                <w:sz w:val="17"/>
              </w:rPr>
              <w:t>Promedio 1.8 versiones por familia, máximo 17; 15 familias con 10 o más</w:t>
            </w:r>
          </w:p>
        </w:tc>
        <w:tc>
          <w:tcPr>
            <w:tcW w:type="dxa" w:w="3548"/>
          </w:tcPr>
          <w:p>
            <w:pPr>
              <w:spacing w:after="0"/>
            </w:pPr>
            <w:r/>
            <w:r>
              <w:rPr>
                <w:sz w:val="17"/>
              </w:rPr>
              <w:t>Varias versiones activas a la vez se pisan (dos emails de desembolso, 20240821 y 20251110, llegaron juntos a 600 mil usuarios)</w:t>
            </w:r>
          </w:p>
        </w:tc>
      </w:tr>
      <w:tr>
        <w:tc>
          <w:tcPr>
            <w:tcW w:type="dxa" w:w="2542"/>
          </w:tcPr>
          <w:p>
            <w:pPr>
              <w:spacing w:after="0"/>
            </w:pPr>
            <w:r/>
            <w:r>
              <w:rPr>
                <w:sz w:val="17"/>
              </w:rPr>
              <w:t>Duplicados activos</w:t>
            </w:r>
          </w:p>
        </w:tc>
        <w:tc>
          <w:tcPr>
            <w:tcW w:type="dxa" w:w="3548"/>
          </w:tcPr>
          <w:p>
            <w:pPr>
              <w:spacing w:after="0"/>
            </w:pPr>
            <w:r/>
            <w:r>
              <w:rPr>
                <w:sz w:val="17"/>
              </w:rPr>
              <w:t>109 piezas activas en 13 combinaciones iguales de equipo + producto + audiencia + oferta; 79 de ellas sin ningún dato en el nombre</w:t>
            </w:r>
          </w:p>
        </w:tc>
        <w:tc>
          <w:tcPr>
            <w:tcW w:type="dxa" w:w="3548"/>
          </w:tcPr>
          <w:p>
            <w:pPr>
              <w:spacing w:after="0"/>
            </w:pPr>
            <w:r/>
            <w:r>
              <w:rPr>
                <w:sz w:val="17"/>
              </w:rPr>
              <w:t>Dos piezas vivas haciendo lo mismo, sin saber cuál manda</w:t>
            </w:r>
          </w:p>
        </w:tc>
      </w:tr>
      <w:tr>
        <w:tc>
          <w:tcPr>
            <w:tcW w:type="dxa" w:w="2542"/>
          </w:tcPr>
          <w:p>
            <w:pPr>
              <w:spacing w:after="0"/>
            </w:pPr>
            <w:r/>
            <w:r>
              <w:rPr>
                <w:sz w:val="17"/>
              </w:rPr>
              <w:t>Control group</w:t>
            </w:r>
          </w:p>
        </w:tc>
        <w:tc>
          <w:tcPr>
            <w:tcW w:type="dxa" w:w="3548"/>
          </w:tcPr>
          <w:p>
            <w:pPr>
              <w:spacing w:after="0"/>
            </w:pPr>
            <w:r/>
            <w:r>
              <w:rPr>
                <w:sz w:val="17"/>
              </w:rPr>
              <w:t xml:space="preserve">La columna </w:t>
            </w:r>
            <w:r>
              <w:rPr>
                <w:rFonts w:ascii="Consolas" w:hAnsi="Consolas" w:eastAsia="Consolas"/>
                <w:color w:val="1F4E79"/>
                <w:sz w:val="17"/>
              </w:rPr>
              <w:t>control_group</w:t>
            </w:r>
            <w:r>
              <w:rPr>
                <w:sz w:val="17"/>
              </w:rPr>
              <w:t xml:space="preserve"> dice "Lead" en 99.99 % de las filas; </w:t>
            </w:r>
            <w:r>
              <w:rPr>
                <w:rFonts w:ascii="Consolas" w:hAnsi="Consolas" w:eastAsia="Consolas"/>
                <w:color w:val="1F4E79"/>
                <w:sz w:val="17"/>
              </w:rPr>
              <w:t>in_control_group</w:t>
            </w:r>
            <w:r>
              <w:rPr>
                <w:sz w:val="17"/>
              </w:rPr>
              <w:t xml:space="preserve"> solo existe en 15 % de las filas de Canvas</w:t>
            </w:r>
          </w:p>
        </w:tc>
        <w:tc>
          <w:tcPr>
            <w:tcW w:type="dxa" w:w="3548"/>
          </w:tcPr>
          <w:p>
            <w:pPr>
              <w:spacing w:after="0"/>
            </w:pPr>
            <w:r/>
            <w:r>
              <w:rPr>
                <w:sz w:val="17"/>
              </w:rPr>
              <w:t>Hoy no se puede medir lift con grupo de control</w:t>
            </w:r>
          </w:p>
        </w:tc>
      </w:tr>
    </w:tbl>
    <w:p>
      <w:pPr>
        <w:spacing w:after="40"/>
      </w:pPr>
    </w:p>
    <w:p>
      <w:pPr>
        <w:spacing w:after="120"/>
      </w:pPr>
      <w:r>
        <w:t>Conclusión: la convención existe y es buena (</w:t>
      </w:r>
      <w:r>
        <w:rPr>
          <w:rFonts w:ascii="Consolas" w:hAnsi="Consolas" w:eastAsia="Consolas"/>
          <w:color w:val="1F4E79"/>
        </w:rPr>
        <w:t>Equipo-Producto-Fecha-Ticket-Canal-Audiencia-Oferta-Grupo</w:t>
      </w:r>
      <w:r>
        <w:t>), y las tablas de Databricks ya la parten en columnas. Lo que falta es cerrar los vocabularios de cada posición y que nadie lance sin cumplirla. No hay que inventar otra convención: hay que hacer cumplir la que hay.</w:t>
      </w:r>
    </w:p>
    <w:p>
      <w:pPr>
        <w:pStyle w:val="Heading2"/>
      </w:pPr>
      <w:r>
        <w:t>A2. Nomenclatura de campañas y Canvas</w:t>
      </w:r>
    </w:p>
    <w:p>
      <w:pPr>
        <w:spacing w:after="120"/>
      </w:pPr>
      <w:r>
        <w:t>Se conserva el orden actual de 8 posiciones separadas por guion, porque los catálogos de Databricks lo leen así y cambiarlo rompería la medición. Cada posición pasa a tener una lista cerrada.</w:t>
      </w:r>
    </w:p>
    <w:p>
      <w:pPr>
        <w:spacing w:after="120"/>
      </w:pPr>
      <w:r>
        <w:rPr>
          <w:rFonts w:ascii="Consolas" w:hAnsi="Consolas" w:eastAsia="Consolas"/>
          <w:color w:val="1F4E79"/>
        </w:rPr>
        <w:t>Equipo-Producto-AAAAMMDD-Ticket-Tipo-Audiencia-Gancho-Grupo</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876"/>
            <w:shd w:val="clear" w:color="auto" w:fill="E8EEF4"/>
          </w:tcPr>
          <w:p>
            <w:pPr>
              <w:spacing w:after="0"/>
            </w:pPr>
            <w:r>
              <w:rPr>
                <w:b/>
              </w:rPr>
            </w:r>
            <w:r>
              <w:rPr>
                <w:b/>
                <w:sz w:val="17"/>
              </w:rPr>
              <w:t>Posición</w:t>
            </w:r>
          </w:p>
        </w:tc>
        <w:tc>
          <w:tcPr>
            <w:tcW w:type="dxa" w:w="4381"/>
            <w:shd w:val="clear" w:color="auto" w:fill="E8EEF4"/>
          </w:tcPr>
          <w:p>
            <w:pPr>
              <w:spacing w:after="0"/>
            </w:pPr>
            <w:r>
              <w:rPr>
                <w:b/>
              </w:rPr>
            </w:r>
            <w:r>
              <w:rPr>
                <w:b/>
                <w:sz w:val="17"/>
              </w:rPr>
              <w:t>Lista cerrada</w:t>
            </w:r>
          </w:p>
        </w:tc>
        <w:tc>
          <w:tcPr>
            <w:tcW w:type="dxa" w:w="4381"/>
            <w:shd w:val="clear" w:color="auto" w:fill="E8EEF4"/>
          </w:tcPr>
          <w:p>
            <w:pPr>
              <w:spacing w:after="0"/>
            </w:pPr>
            <w:r>
              <w:rPr>
                <w:b/>
              </w:rPr>
            </w:r>
            <w:r>
              <w:rPr>
                <w:b/>
                <w:sz w:val="17"/>
              </w:rPr>
              <w:t>Regla</w:t>
            </w:r>
          </w:p>
        </w:tc>
      </w:tr>
      <w:tr>
        <w:tc>
          <w:tcPr>
            <w:tcW w:type="dxa" w:w="876"/>
          </w:tcPr>
          <w:p>
            <w:pPr>
              <w:spacing w:after="0"/>
            </w:pPr>
            <w:r/>
            <w:r>
              <w:rPr>
                <w:sz w:val="17"/>
              </w:rPr>
              <w:t>1. Equipo</w:t>
            </w:r>
          </w:p>
        </w:tc>
        <w:tc>
          <w:tcPr>
            <w:tcW w:type="dxa" w:w="4381"/>
          </w:tcPr>
          <w:p>
            <w:pPr>
              <w:spacing w:after="0"/>
            </w:pPr>
            <w:r/>
            <w:r>
              <w:rPr>
                <w:sz w:val="17"/>
              </w:rPr>
              <w:t>Marketing, Lending, Sales, Collections, Acquisition, Producto, Compliance, CX</w:t>
            </w:r>
          </w:p>
        </w:tc>
        <w:tc>
          <w:tcPr>
            <w:tcW w:type="dxa" w:w="4381"/>
          </w:tcPr>
          <w:p>
            <w:pPr>
              <w:spacing w:after="0"/>
            </w:pPr>
            <w:r/>
            <w:r>
              <w:rPr>
                <w:sz w:val="17"/>
              </w:rPr>
              <w:t>Un equipo por pieza. "Lending" es el nombre en Braze del equipo Product Growth. Nada de "Copy of", iniciales ni nombres de personas. B2B va como Sales con producto KPay_B2B.</w:t>
            </w:r>
          </w:p>
        </w:tc>
      </w:tr>
      <w:tr>
        <w:tc>
          <w:tcPr>
            <w:tcW w:type="dxa" w:w="876"/>
          </w:tcPr>
          <w:p>
            <w:pPr>
              <w:spacing w:after="0"/>
            </w:pPr>
            <w:r/>
            <w:r>
              <w:rPr>
                <w:sz w:val="17"/>
              </w:rPr>
              <w:t>2. Producto</w:t>
            </w:r>
          </w:p>
        </w:tc>
        <w:tc>
          <w:tcPr>
            <w:tcW w:type="dxa" w:w="4381"/>
          </w:tcPr>
          <w:p>
            <w:pPr>
              <w:spacing w:after="0"/>
            </w:pPr>
            <w:r/>
            <w:r>
              <w:rPr>
                <w:sz w:val="17"/>
              </w:rPr>
              <w:t>KCash, KPay, KPay_B2B, BillPay, Installments, Ecosistema, Kueski</w:t>
            </w:r>
          </w:p>
        </w:tc>
        <w:tc>
          <w:tcPr>
            <w:tcW w:type="dxa" w:w="4381"/>
          </w:tcPr>
          <w:p>
            <w:pPr>
              <w:spacing w:after="0"/>
            </w:pPr>
            <w:r/>
            <w:r>
              <w:rPr>
                <w:sz w:val="17"/>
              </w:rPr>
              <w:t>"Kueski" solo para comunicación corporativa (aviso de privacidad, NPS). Nunca "Marketing", "Lending" ni "Multiproducto" como producto: si cubre dos productos, se parte en dos piezas o se usa Ecosistema.</w:t>
            </w:r>
          </w:p>
        </w:tc>
      </w:tr>
      <w:tr>
        <w:tc>
          <w:tcPr>
            <w:tcW w:type="dxa" w:w="876"/>
          </w:tcPr>
          <w:p>
            <w:pPr>
              <w:spacing w:after="0"/>
            </w:pPr>
            <w:r/>
            <w:r>
              <w:rPr>
                <w:sz w:val="17"/>
              </w:rPr>
              <w:t>3. Fecha</w:t>
            </w:r>
          </w:p>
        </w:tc>
        <w:tc>
          <w:tcPr>
            <w:tcW w:type="dxa" w:w="4381"/>
          </w:tcPr>
          <w:p>
            <w:pPr>
              <w:spacing w:after="0"/>
            </w:pPr>
            <w:r/>
            <w:r>
              <w:rPr>
                <w:sz w:val="17"/>
              </w:rPr>
              <w:t>AAAAMMDD de la versión</w:t>
            </w:r>
          </w:p>
        </w:tc>
        <w:tc>
          <w:tcPr>
            <w:tcW w:type="dxa" w:w="4381"/>
          </w:tcPr>
          <w:p>
            <w:pPr>
              <w:spacing w:after="0"/>
            </w:pPr>
            <w:r/>
            <w:r>
              <w:rPr>
                <w:sz w:val="17"/>
              </w:rPr>
              <w:t>Es la fecha en que esta versión se activó. Al crear una versión nueva, la anterior se archiva el mismo día. Nunca dos versiones activas de la misma familia.</w:t>
            </w:r>
          </w:p>
        </w:tc>
      </w:tr>
      <w:tr>
        <w:tc>
          <w:tcPr>
            <w:tcW w:type="dxa" w:w="876"/>
          </w:tcPr>
          <w:p>
            <w:pPr>
              <w:spacing w:after="0"/>
            </w:pPr>
            <w:r/>
            <w:r>
              <w:rPr>
                <w:sz w:val="17"/>
              </w:rPr>
              <w:t>4. Ticket</w:t>
            </w:r>
          </w:p>
        </w:tc>
        <w:tc>
          <w:tcPr>
            <w:tcW w:type="dxa" w:w="4381"/>
          </w:tcPr>
          <w:p>
            <w:pPr>
              <w:spacing w:after="0"/>
            </w:pPr>
            <w:r/>
            <w:r>
              <w:rPr>
                <w:sz w:val="17"/>
              </w:rPr>
              <w:t>B#### (negocio), T#### (tecnología o producto), S#### (shopping), C#### (cobranza), L#### (legal o compliance)</w:t>
            </w:r>
          </w:p>
        </w:tc>
        <w:tc>
          <w:tcPr>
            <w:tcW w:type="dxa" w:w="4381"/>
          </w:tcPr>
          <w:p>
            <w:pPr>
              <w:spacing w:after="0"/>
            </w:pPr>
            <w:r/>
            <w:r>
              <w:rPr>
                <w:sz w:val="17"/>
              </w:rPr>
              <w:t>Obligatorio. Sin ticket no se activa. "T000", "T0000" y "B0000" dejan de existir: cada iniciativa abre su ticket. Collections hoy usa T000 en todo; abre un C#### por flujo (BKT1, BKT2, BKT3, Precobranza).</w:t>
            </w:r>
          </w:p>
        </w:tc>
      </w:tr>
      <w:tr>
        <w:tc>
          <w:tcPr>
            <w:tcW w:type="dxa" w:w="876"/>
          </w:tcPr>
          <w:p>
            <w:pPr>
              <w:spacing w:after="0"/>
            </w:pPr>
            <w:r/>
            <w:r>
              <w:rPr>
                <w:sz w:val="17"/>
              </w:rPr>
              <w:t>5. Tipo</w:t>
            </w:r>
          </w:p>
        </w:tc>
        <w:tc>
          <w:tcPr>
            <w:tcW w:type="dxa" w:w="4381"/>
          </w:tcPr>
          <w:p>
            <w:pPr>
              <w:spacing w:after="0"/>
            </w:pPr>
            <w:r/>
            <w:r>
              <w:rPr>
                <w:sz w:val="17"/>
              </w:rPr>
              <w:t>CANVAS, CAMP_EMAIL, CAMP_PUSH, CAMP_WA, CAMP_INAPP, CAMP_BANNER</w:t>
            </w:r>
          </w:p>
        </w:tc>
        <w:tc>
          <w:tcPr>
            <w:tcW w:type="dxa" w:w="4381"/>
          </w:tcPr>
          <w:p>
            <w:pPr>
              <w:spacing w:after="0"/>
            </w:pPr>
            <w:r/>
            <w:r>
              <w:rPr>
                <w:sz w:val="17"/>
              </w:rPr>
              <w:t>Una campaña es de un solo canal; el Canvas lleva el canal en cada paso (A3). Desaparecen "CANVA", "E", "IA", "Mail", "PushiOSAndroid".</w:t>
            </w:r>
          </w:p>
        </w:tc>
      </w:tr>
      <w:tr>
        <w:tc>
          <w:tcPr>
            <w:tcW w:type="dxa" w:w="876"/>
          </w:tcPr>
          <w:p>
            <w:pPr>
              <w:spacing w:after="0"/>
            </w:pPr>
            <w:r/>
            <w:r>
              <w:rPr>
                <w:sz w:val="17"/>
              </w:rPr>
              <w:t>6. Audiencia</w:t>
            </w:r>
          </w:p>
        </w:tc>
        <w:tc>
          <w:tcPr>
            <w:tcW w:type="dxa" w:w="4381"/>
          </w:tcPr>
          <w:p>
            <w:pPr>
              <w:spacing w:after="0"/>
            </w:pPr>
            <w:r/>
            <w:r>
              <w:rPr>
                <w:sz w:val="17"/>
              </w:rPr>
              <w:t>Anonimos, Leads, Registrados, Nuevos, Activos, Recurrentes, Inactivos, Dormants, Churn, Comercios, Todos, y para cobranza BKT1, BKT2, BKT3, Precobranza</w:t>
            </w:r>
          </w:p>
        </w:tc>
        <w:tc>
          <w:tcPr>
            <w:tcW w:type="dxa" w:w="4381"/>
          </w:tcPr>
          <w:p>
            <w:pPr>
              <w:spacing w:after="0"/>
            </w:pPr>
            <w:r/>
            <w:r>
              <w:rPr>
                <w:sz w:val="17"/>
              </w:rPr>
              <w:t xml:space="preserve">Es el segmento maestro de A4. Un detalle se agrega con guion bajo y una sola palabra: </w:t>
            </w:r>
            <w:r>
              <w:rPr>
                <w:rFonts w:ascii="Consolas" w:hAnsi="Consolas" w:eastAsia="Consolas"/>
                <w:color w:val="1F4E79"/>
                <w:sz w:val="17"/>
              </w:rPr>
              <w:t>Leads_LeftFunnel</w:t>
            </w:r>
            <w:r>
              <w:rPr>
                <w:sz w:val="17"/>
              </w:rPr>
              <w:t xml:space="preserve">, </w:t>
            </w:r>
            <w:r>
              <w:rPr>
                <w:rFonts w:ascii="Consolas" w:hAnsi="Consolas" w:eastAsia="Consolas"/>
                <w:color w:val="1F4E79"/>
                <w:sz w:val="17"/>
              </w:rPr>
              <w:t>Recurrentes_KPay</w:t>
            </w:r>
            <w:r>
              <w:rPr>
                <w:sz w:val="17"/>
              </w:rPr>
              <w:t>. "Todos" obliga a prueba al 10 % (B6).</w:t>
            </w:r>
          </w:p>
        </w:tc>
      </w:tr>
      <w:tr>
        <w:tc>
          <w:tcPr>
            <w:tcW w:type="dxa" w:w="876"/>
          </w:tcPr>
          <w:p>
            <w:pPr>
              <w:spacing w:after="0"/>
            </w:pPr>
            <w:r/>
            <w:r>
              <w:rPr>
                <w:sz w:val="17"/>
              </w:rPr>
              <w:t>7. Gancho</w:t>
            </w:r>
          </w:p>
        </w:tc>
        <w:tc>
          <w:tcPr>
            <w:tcW w:type="dxa" w:w="4381"/>
          </w:tcPr>
          <w:p>
            <w:pPr>
              <w:spacing w:after="0"/>
            </w:pPr>
            <w:r/>
            <w:r>
              <w:rPr>
                <w:sz w:val="17"/>
              </w:rPr>
              <w:t>Tasa0, Descuento, Cupon, Cashback, Referidos, Retargeting, Recordatorio, Lanzamiento, Newsletter, CrossSell, Evento, Encuesta, Informativo, Cobranza, Transaccional</w:t>
            </w:r>
          </w:p>
        </w:tc>
        <w:tc>
          <w:tcPr>
            <w:tcW w:type="dxa" w:w="4381"/>
          </w:tcPr>
          <w:p>
            <w:pPr>
              <w:spacing w:after="0"/>
            </w:pPr>
            <w:r/>
            <w:r>
              <w:rPr>
                <w:sz w:val="17"/>
              </w:rPr>
              <w:t xml:space="preserve">Un gancho por pieza. "Tasa0Blast", "RescateTasa0", "NarrativaTasa0" son Tasa0; el matiz va en el detalle con guion bajo: </w:t>
            </w:r>
            <w:r>
              <w:rPr>
                <w:rFonts w:ascii="Consolas" w:hAnsi="Consolas" w:eastAsia="Consolas"/>
                <w:color w:val="1F4E79"/>
                <w:sz w:val="17"/>
              </w:rPr>
              <w:t>Tasa0_Rescate</w:t>
            </w:r>
            <w:r>
              <w:rPr>
                <w:sz w:val="17"/>
              </w:rPr>
              <w:t xml:space="preserve">. Evento cubre HotSale, BuenFin, CuestaEnero, BackToSchool: </w:t>
            </w:r>
            <w:r>
              <w:rPr>
                <w:rFonts w:ascii="Consolas" w:hAnsi="Consolas" w:eastAsia="Consolas"/>
                <w:color w:val="1F4E79"/>
                <w:sz w:val="17"/>
              </w:rPr>
              <w:t>Evento_HotSale</w:t>
            </w:r>
            <w:r>
              <w:rPr>
                <w:sz w:val="17"/>
              </w:rPr>
              <w:t>.</w:t>
            </w:r>
          </w:p>
        </w:tc>
      </w:tr>
      <w:tr>
        <w:tc>
          <w:tcPr>
            <w:tcW w:type="dxa" w:w="876"/>
          </w:tcPr>
          <w:p>
            <w:pPr>
              <w:spacing w:after="0"/>
            </w:pPr>
            <w:r/>
            <w:r>
              <w:rPr>
                <w:sz w:val="17"/>
              </w:rPr>
              <w:t>8. Grupo</w:t>
            </w:r>
          </w:p>
        </w:tc>
        <w:tc>
          <w:tcPr>
            <w:tcW w:type="dxa" w:w="4381"/>
          </w:tcPr>
          <w:p>
            <w:pPr>
              <w:spacing w:after="0"/>
            </w:pPr>
            <w:r/>
            <w:r>
              <w:rPr>
                <w:sz w:val="17"/>
              </w:rPr>
              <w:t>Control, A, B, C, NA</w:t>
            </w:r>
          </w:p>
        </w:tc>
        <w:tc>
          <w:tcPr>
            <w:tcW w:type="dxa" w:w="4381"/>
          </w:tcPr>
          <w:p>
            <w:pPr>
              <w:spacing w:after="0"/>
            </w:pPr>
            <w:r/>
            <w:r>
              <w:rPr>
                <w:sz w:val="17"/>
              </w:rPr>
              <w:t>Solo para pruebas. "NA" cuando no hay prueba. Prohibido "Not Tracked", "N/A" y cualquier texto libre.</w:t>
            </w:r>
          </w:p>
        </w:tc>
      </w:tr>
    </w:tbl>
    <w:p>
      <w:pPr>
        <w:spacing w:after="40"/>
      </w:pPr>
    </w:p>
    <w:p>
      <w:pPr>
        <w:spacing w:after="120"/>
      </w:pPr>
      <w:r>
        <w:t>Ejemplos:</w:t>
      </w:r>
    </w:p>
    <w:p>
      <w:pPr>
        <w:pStyle w:val="ListBullet"/>
      </w:pPr>
      <w:r>
        <w:rPr>
          <w:rFonts w:ascii="Consolas" w:hAnsi="Consolas" w:eastAsia="Consolas"/>
          <w:color w:val="1F4E79"/>
        </w:rPr>
        <w:t>Lending-KCash-20261101-B0301-CANVAS-Activos-Retargeting_Installments-NA</w:t>
      </w:r>
    </w:p>
    <w:p>
      <w:pPr>
        <w:pStyle w:val="ListBullet"/>
      </w:pPr>
      <w:r>
        <w:rPr>
          <w:rFonts w:ascii="Consolas" w:hAnsi="Consolas" w:eastAsia="Consolas"/>
          <w:color w:val="1F4E79"/>
        </w:rPr>
        <w:t>Sales-KPay-20261115-B0600-CAMP_PUSH-Recurrentes-Evento_BuenFin-A</w:t>
      </w:r>
    </w:p>
    <w:p>
      <w:pPr>
        <w:pStyle w:val="ListBullet"/>
      </w:pPr>
      <w:r>
        <w:rPr>
          <w:rFonts w:ascii="Consolas" w:hAnsi="Consolas" w:eastAsia="Consolas"/>
          <w:color w:val="1F4E79"/>
        </w:rPr>
        <w:t>Collections-KCash-20261101-C0012-CANVAS-BKT1-Cobranza-NA</w:t>
      </w:r>
    </w:p>
    <w:p>
      <w:pPr>
        <w:pStyle w:val="ListBullet"/>
      </w:pPr>
      <w:r>
        <w:rPr>
          <w:rFonts w:ascii="Consolas" w:hAnsi="Consolas" w:eastAsia="Consolas"/>
          <w:color w:val="1F4E79"/>
        </w:rPr>
        <w:t>Marketing-KCash-20261020-B0610-CANVAS-Leads_LeftFunnel-Retargeting_Veriff-Control</w:t>
      </w:r>
    </w:p>
    <w:p>
      <w:pPr>
        <w:spacing w:after="120"/>
      </w:pPr>
      <w:r>
        <w:t>Reglas adicionales:</w:t>
      </w:r>
    </w:p>
    <w:p>
      <w:pPr>
        <w:pStyle w:val="ListBullet"/>
      </w:pPr>
      <w:r>
        <w:t>Sin espacios, sin acentos, sin "N/A". Guion solo entre posiciones; dentro de una posición, guion bajo.</w:t>
      </w:r>
    </w:p>
    <w:p>
      <w:pPr>
        <w:pStyle w:val="ListBullet"/>
      </w:pPr>
      <w:r>
        <w:t xml:space="preserve">Pruebas: prefijo </w:t>
      </w:r>
      <w:r>
        <w:rPr>
          <w:rFonts w:ascii="Consolas" w:hAnsi="Consolas" w:eastAsia="Consolas"/>
          <w:color w:val="1F4E79"/>
        </w:rPr>
        <w:t>TEST-</w:t>
      </w:r>
      <w:r>
        <w:t xml:space="preserve"> delante del nombre completo, audiencia de prueba (segmento </w:t>
      </w:r>
      <w:r>
        <w:rPr>
          <w:rFonts w:ascii="Consolas" w:hAnsi="Consolas" w:eastAsia="Consolas"/>
          <w:color w:val="1F4E79"/>
        </w:rPr>
        <w:t>SEG-Interno-QA</w:t>
      </w:r>
      <w:r>
        <w:t xml:space="preserve">) y archivo a los 7 días. Una pieza con </w:t>
      </w:r>
      <w:r>
        <w:rPr>
          <w:rFonts w:ascii="Consolas" w:hAnsi="Consolas" w:eastAsia="Consolas"/>
          <w:color w:val="1F4E79"/>
        </w:rPr>
        <w:t>TEST-</w:t>
      </w:r>
      <w:r>
        <w:t xml:space="preserve">, </w:t>
      </w:r>
      <w:r>
        <w:rPr>
          <w:rFonts w:ascii="Consolas" w:hAnsi="Consolas" w:eastAsia="Consolas"/>
          <w:color w:val="1F4E79"/>
        </w:rPr>
        <w:t>QA</w:t>
      </w:r>
      <w:r>
        <w:t xml:space="preserve">, </w:t>
      </w:r>
      <w:r>
        <w:rPr>
          <w:rFonts w:ascii="Consolas" w:hAnsi="Consolas" w:eastAsia="Consolas"/>
          <w:color w:val="1F4E79"/>
        </w:rPr>
        <w:t>Prueba</w:t>
      </w:r>
      <w:r>
        <w:t xml:space="preserve"> o </w:t>
      </w:r>
      <w:r>
        <w:rPr>
          <w:rFonts w:ascii="Consolas" w:hAnsi="Consolas" w:eastAsia="Consolas"/>
          <w:color w:val="1F4E79"/>
        </w:rPr>
        <w:t>Copy of</w:t>
      </w:r>
      <w:r>
        <w:t xml:space="preserve"> en el nombre nunca apunta a un segmento real. Hoy 7 piezas activas incumplen esto.</w:t>
      </w:r>
    </w:p>
    <w:p>
      <w:pPr>
        <w:pStyle w:val="ListBullet"/>
      </w:pPr>
      <w:r>
        <w:t>"Copy of" se renombra antes de activar. Una copia que conserva el nombre no se activa.</w:t>
      </w:r>
    </w:p>
    <w:p>
      <w:pPr>
        <w:pStyle w:val="ListBullet"/>
      </w:pPr>
      <w:r>
        <w:t xml:space="preserve">El nombre de la pieza en Braze y el </w:t>
      </w:r>
      <w:r>
        <w:rPr>
          <w:rFonts w:ascii="Consolas" w:hAnsi="Consolas" w:eastAsia="Consolas"/>
          <w:color w:val="1F4E79"/>
        </w:rPr>
        <w:t>communication_id</w:t>
      </w:r>
      <w:r>
        <w:t xml:space="preserve"> se anotan en el ticket. Es lo que permite cruzar Databricks con la petición de negocio.</w:t>
      </w:r>
    </w:p>
    <w:p>
      <w:pPr>
        <w:pStyle w:val="Heading2"/>
      </w:pPr>
      <w:r>
        <w:t>A3. Pasos de Canvas</w:t>
      </w:r>
    </w:p>
    <w:p>
      <w:pPr>
        <w:spacing w:after="120"/>
      </w:pPr>
      <w:r>
        <w:t xml:space="preserve">Cada paso se nombra </w:t>
      </w:r>
      <w:r>
        <w:rPr>
          <w:rFonts w:ascii="Consolas" w:hAnsi="Consolas" w:eastAsia="Consolas"/>
          <w:color w:val="1F4E79"/>
        </w:rPr>
        <w:t>NN-Canal-Proposito-Toque</w:t>
      </w:r>
      <w:r>
        <w:t>:</w:t>
      </w:r>
    </w:p>
    <w:p>
      <w:pPr>
        <w:pStyle w:val="ListBullet"/>
      </w:pPr>
      <w:r>
        <w:rPr>
          <w:rFonts w:ascii="Consolas" w:hAnsi="Consolas" w:eastAsia="Consolas"/>
          <w:color w:val="1F4E79"/>
        </w:rPr>
        <w:t>NN</w:t>
      </w:r>
      <w:r>
        <w:t xml:space="preserve"> = orden con dos dígitos (01, 02).</w:t>
      </w:r>
    </w:p>
    <w:p>
      <w:pPr>
        <w:pStyle w:val="ListBullet"/>
      </w:pPr>
      <w:r>
        <w:t>Canal = Email, Push, WA, InApp, Banner, Espera, Decision, Salida.</w:t>
      </w:r>
    </w:p>
    <w:p>
      <w:pPr>
        <w:pStyle w:val="ListBullet"/>
      </w:pPr>
      <w:r>
        <w:t>Propósito = una palabra: Bienvenida, Recordatorio, Oferta, Ultimo, Confirmacion.</w:t>
      </w:r>
    </w:p>
    <w:p>
      <w:pPr>
        <w:pStyle w:val="ListBullet"/>
      </w:pPr>
      <w:r>
        <w:t xml:space="preserve">Toque = T1, T2 (número de toque al usuario dentro del Canvas). Permite contar toques desde </w:t>
      </w:r>
      <w:r>
        <w:rPr>
          <w:rFonts w:ascii="Consolas" w:hAnsi="Consolas" w:eastAsia="Consolas"/>
          <w:color w:val="1F4E79"/>
        </w:rPr>
        <w:t>_dim_braze_canvas_step</w:t>
      </w:r>
      <w:r>
        <w:t>.</w:t>
      </w:r>
    </w:p>
    <w:p>
      <w:pPr>
        <w:spacing w:after="120"/>
      </w:pPr>
      <w:r>
        <w:t xml:space="preserve">Ejemplos: </w:t>
      </w:r>
      <w:r>
        <w:rPr>
          <w:rFonts w:ascii="Consolas" w:hAnsi="Consolas" w:eastAsia="Consolas"/>
          <w:color w:val="1F4E79"/>
        </w:rPr>
        <w:t>01-Email-Oferta-T1</w:t>
      </w:r>
      <w:r>
        <w:t xml:space="preserve">, </w:t>
      </w:r>
      <w:r>
        <w:rPr>
          <w:rFonts w:ascii="Consolas" w:hAnsi="Consolas" w:eastAsia="Consolas"/>
          <w:color w:val="1F4E79"/>
        </w:rPr>
        <w:t>02-Espera-48h</w:t>
      </w:r>
      <w:r>
        <w:t xml:space="preserve">, </w:t>
      </w:r>
      <w:r>
        <w:rPr>
          <w:rFonts w:ascii="Consolas" w:hAnsi="Consolas" w:eastAsia="Consolas"/>
          <w:color w:val="1F4E79"/>
        </w:rPr>
        <w:t>03-Decision-AbrioEmail</w:t>
      </w:r>
      <w:r>
        <w:t xml:space="preserve">, </w:t>
      </w:r>
      <w:r>
        <w:rPr>
          <w:rFonts w:ascii="Consolas" w:hAnsi="Consolas" w:eastAsia="Consolas"/>
          <w:color w:val="1F4E79"/>
        </w:rPr>
        <w:t>04-Push-Recordatorio-T2</w:t>
      </w:r>
      <w:r>
        <w:t xml:space="preserve">, </w:t>
      </w:r>
      <w:r>
        <w:rPr>
          <w:rFonts w:ascii="Consolas" w:hAnsi="Consolas" w:eastAsia="Consolas"/>
          <w:color w:val="1F4E79"/>
        </w:rPr>
        <w:t>05-Salida-SinRespuesta</w:t>
      </w:r>
      <w:r>
        <w:t>.</w:t>
      </w:r>
    </w:p>
    <w:p>
      <w:pPr>
        <w:spacing w:after="120"/>
      </w:pPr>
      <w:r>
        <w:t>Reglas de estructura:</w:t>
      </w:r>
    </w:p>
    <w:p>
      <w:pPr>
        <w:pStyle w:val="ListBullet"/>
      </w:pPr>
      <w:r>
        <w:t>Máximo 2 toques promocionales por Canvas por usuario al mes (B2). El segundo toque entra solo por la rama "no abrió" o "no hizo clic".</w:t>
      </w:r>
    </w:p>
    <w:p>
      <w:pPr>
        <w:pStyle w:val="ListBullet"/>
      </w:pPr>
      <w:r>
        <w:t>Un paso de Decision antes de cualquier WhatsApp: solo pasa quien abrió o hizo clic en un paso previo de email, push o in-app (B5).</w:t>
      </w:r>
    </w:p>
    <w:p>
      <w:pPr>
        <w:pStyle w:val="ListBullet"/>
      </w:pPr>
      <w:r>
        <w:t>Cada paso de email lleva el filtro de suscripción del grupo correspondiente (A6). Hoy 79,994 emails promocionales llegaron a usuarios ya dados de baja porque el filtro estaba solo a la entrada del Canvas (Estándares, fila 21).</w:t>
      </w:r>
    </w:p>
    <w:p>
      <w:pPr>
        <w:pStyle w:val="ListBullet"/>
      </w:pPr>
      <w:r>
        <w:t>Todo Canvas promocional termina en un paso de Salida con el motivo (SinRespuesta, Convirtio, Baja). Sin salida, el usuario se queda dentro y recibe los pasos que faltan aunque ya haya convertido.</w:t>
      </w:r>
    </w:p>
    <w:p>
      <w:pPr>
        <w:pStyle w:val="Heading2"/>
      </w:pPr>
      <w:r>
        <w:t>A4. Segmentos: maestros, uno por audiencia, con dueño</w:t>
      </w:r>
    </w:p>
    <w:p>
      <w:pPr>
        <w:spacing w:after="120"/>
      </w:pPr>
      <w:r>
        <w:t>Problema que resuelve: 731 formas de escribir la audiencia en el nombre y dos equipos trabajando la misma base con ofertas distintas (Lending B0209, B0333 y B0332 contra Marketing B0326 sobre inactivos y dormants; Lending B0211 y Marketing B0171 con Tasa 0 al mismo usuario, 120 mil coincidencias el mismo día).</w:t>
      </w:r>
    </w:p>
    <w:p>
      <w:pPr>
        <w:spacing w:after="120"/>
      </w:pPr>
      <w:r>
        <w:t xml:space="preserve">Nomenclatura: </w:t>
      </w:r>
      <w:r>
        <w:rPr>
          <w:rFonts w:ascii="Consolas" w:hAnsi="Consolas" w:eastAsia="Consolas"/>
          <w:color w:val="1F4E79"/>
        </w:rPr>
        <w:t>SEG-Producto-Audiencia-Condicion</w:t>
      </w:r>
      <w:r>
        <w:t xml:space="preserve">. Ejemplos: </w:t>
      </w:r>
      <w:r>
        <w:rPr>
          <w:rFonts w:ascii="Consolas" w:hAnsi="Consolas" w:eastAsia="Consolas"/>
          <w:color w:val="1F4E79"/>
        </w:rPr>
        <w:t>SEG-KCash-Nuevos-Sin1erCredito</w:t>
      </w:r>
      <w:r>
        <w:t xml:space="preserve">, </w:t>
      </w:r>
      <w:r>
        <w:rPr>
          <w:rFonts w:ascii="Consolas" w:hAnsi="Consolas" w:eastAsia="Consolas"/>
          <w:color w:val="1F4E79"/>
        </w:rPr>
        <w:t>SEG-KPay-Recurrentes-Compra90d</w:t>
      </w:r>
      <w:r>
        <w:t xml:space="preserve">, </w:t>
      </w:r>
      <w:r>
        <w:rPr>
          <w:rFonts w:ascii="Consolas" w:hAnsi="Consolas" w:eastAsia="Consolas"/>
          <w:color w:val="1F4E79"/>
        </w:rPr>
        <w:t>SEG-KCash-Inactivos-180a360d</w:t>
      </w:r>
      <w:r>
        <w:t>.</w:t>
      </w:r>
    </w:p>
    <w:p>
      <w:pPr>
        <w:spacing w:after="120"/>
      </w:pPr>
      <w:r>
        <w:t>Segmentos maestros (entre 20 y 30 en total, no más). Propuesta inicial:</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910"/>
            <w:shd w:val="clear" w:color="auto" w:fill="E8EEF4"/>
          </w:tcPr>
          <w:p>
            <w:pPr>
              <w:spacing w:after="0"/>
            </w:pPr>
            <w:r>
              <w:rPr>
                <w:b/>
              </w:rPr>
            </w:r>
            <w:r>
              <w:rPr>
                <w:b/>
                <w:sz w:val="17"/>
              </w:rPr>
              <w:t>Familia</w:t>
            </w:r>
          </w:p>
        </w:tc>
        <w:tc>
          <w:tcPr>
            <w:tcW w:type="dxa" w:w="2605"/>
            <w:shd w:val="clear" w:color="auto" w:fill="E8EEF4"/>
          </w:tcPr>
          <w:p>
            <w:pPr>
              <w:spacing w:after="0"/>
            </w:pPr>
            <w:r>
              <w:rPr>
                <w:b/>
              </w:rPr>
            </w:r>
            <w:r>
              <w:rPr>
                <w:b/>
                <w:sz w:val="17"/>
              </w:rPr>
              <w:t>Segmentos</w:t>
            </w:r>
          </w:p>
        </w:tc>
        <w:tc>
          <w:tcPr>
            <w:tcW w:type="dxa" w:w="2518"/>
            <w:shd w:val="clear" w:color="auto" w:fill="E8EEF4"/>
          </w:tcPr>
          <w:p>
            <w:pPr>
              <w:spacing w:after="0"/>
            </w:pPr>
            <w:r>
              <w:rPr>
                <w:b/>
              </w:rPr>
            </w:r>
            <w:r>
              <w:rPr>
                <w:b/>
                <w:sz w:val="17"/>
              </w:rPr>
              <w:t>Definición base</w:t>
            </w:r>
          </w:p>
        </w:tc>
        <w:tc>
          <w:tcPr>
            <w:tcW w:type="dxa" w:w="2605"/>
            <w:shd w:val="clear" w:color="auto" w:fill="E8EEF4"/>
          </w:tcPr>
          <w:p>
            <w:pPr>
              <w:spacing w:after="0"/>
            </w:pPr>
            <w:r>
              <w:rPr>
                <w:b/>
              </w:rPr>
            </w:r>
            <w:r>
              <w:rPr>
                <w:b/>
                <w:sz w:val="17"/>
              </w:rPr>
              <w:t>Dueño</w:t>
            </w:r>
          </w:p>
        </w:tc>
      </w:tr>
      <w:tr>
        <w:tc>
          <w:tcPr>
            <w:tcW w:type="dxa" w:w="1910"/>
          </w:tcPr>
          <w:p>
            <w:pPr>
              <w:spacing w:after="0"/>
            </w:pPr>
            <w:r/>
            <w:r>
              <w:rPr>
                <w:sz w:val="17"/>
              </w:rPr>
              <w:t>Embudo de registro</w:t>
            </w:r>
          </w:p>
        </w:tc>
        <w:tc>
          <w:tcPr>
            <w:tcW w:type="dxa" w:w="2605"/>
          </w:tcPr>
          <w:p>
            <w:pPr>
              <w:spacing w:after="0"/>
            </w:pPr>
            <w:r/>
            <w:r>
              <w:rPr>
                <w:rFonts w:ascii="Consolas" w:hAnsi="Consolas" w:eastAsia="Consolas"/>
                <w:color w:val="1F4E79"/>
                <w:sz w:val="17"/>
              </w:rPr>
              <w:t>SEG-KCash-Anonimos</w:t>
            </w:r>
            <w:r>
              <w:rPr>
                <w:sz w:val="17"/>
              </w:rPr>
              <w:t xml:space="preserve">, </w:t>
            </w:r>
            <w:r>
              <w:rPr>
                <w:rFonts w:ascii="Consolas" w:hAnsi="Consolas" w:eastAsia="Consolas"/>
                <w:color w:val="1F4E79"/>
                <w:sz w:val="17"/>
              </w:rPr>
              <w:t>SEG-KCash-Leads-SinRegistro</w:t>
            </w:r>
            <w:r>
              <w:rPr>
                <w:sz w:val="17"/>
              </w:rPr>
              <w:t xml:space="preserve">, </w:t>
            </w:r>
            <w:r>
              <w:rPr>
                <w:rFonts w:ascii="Consolas" w:hAnsi="Consolas" w:eastAsia="Consolas"/>
                <w:color w:val="1F4E79"/>
                <w:sz w:val="17"/>
              </w:rPr>
              <w:t>SEG-KCash-Registrados-SinSolicitud</w:t>
            </w:r>
            <w:r>
              <w:rPr>
                <w:sz w:val="17"/>
              </w:rPr>
              <w:t xml:space="preserve">, </w:t>
            </w:r>
            <w:r>
              <w:rPr>
                <w:rFonts w:ascii="Consolas" w:hAnsi="Consolas" w:eastAsia="Consolas"/>
                <w:color w:val="1F4E79"/>
                <w:sz w:val="17"/>
              </w:rPr>
              <w:t>SEG-KCash-Registrados-FaltaVeriff</w:t>
            </w:r>
            <w:r>
              <w:rPr>
                <w:sz w:val="17"/>
              </w:rPr>
              <w:t xml:space="preserve">, </w:t>
            </w:r>
            <w:r>
              <w:rPr>
                <w:rFonts w:ascii="Consolas" w:hAnsi="Consolas" w:eastAsia="Consolas"/>
                <w:color w:val="1F4E79"/>
                <w:sz w:val="17"/>
              </w:rPr>
              <w:t>SEG-KPay-Prospect-FaltaVeriff</w:t>
            </w:r>
          </w:p>
        </w:tc>
        <w:tc>
          <w:tcPr>
            <w:tcW w:type="dxa" w:w="2518"/>
          </w:tcPr>
          <w:p>
            <w:pPr>
              <w:spacing w:after="0"/>
            </w:pPr>
            <w:r/>
            <w:r>
              <w:rPr>
                <w:sz w:val="17"/>
              </w:rPr>
              <w:t>Paso del embudo en que se quedó, con fecha del último paso</w:t>
            </w:r>
          </w:p>
        </w:tc>
        <w:tc>
          <w:tcPr>
            <w:tcW w:type="dxa" w:w="2605"/>
          </w:tcPr>
          <w:p>
            <w:pPr>
              <w:spacing w:after="0"/>
            </w:pPr>
            <w:r/>
            <w:r>
              <w:rPr>
                <w:sz w:val="17"/>
              </w:rPr>
              <w:t>Acquisition (KPay), Marketing (KCash)</w:t>
            </w:r>
          </w:p>
        </w:tc>
      </w:tr>
      <w:tr>
        <w:tc>
          <w:tcPr>
            <w:tcW w:type="dxa" w:w="1910"/>
          </w:tcPr>
          <w:p>
            <w:pPr>
              <w:spacing w:after="0"/>
            </w:pPr>
            <w:r/>
            <w:r>
              <w:rPr>
                <w:sz w:val="17"/>
              </w:rPr>
              <w:t>Nuevos</w:t>
            </w:r>
          </w:p>
        </w:tc>
        <w:tc>
          <w:tcPr>
            <w:tcW w:type="dxa" w:w="2605"/>
          </w:tcPr>
          <w:p>
            <w:pPr>
              <w:spacing w:after="0"/>
            </w:pPr>
            <w:r/>
            <w:r>
              <w:rPr>
                <w:rFonts w:ascii="Consolas" w:hAnsi="Consolas" w:eastAsia="Consolas"/>
                <w:color w:val="1F4E79"/>
                <w:sz w:val="17"/>
              </w:rPr>
              <w:t>SEG-KCash-Nuevos-0a30d</w:t>
            </w:r>
            <w:r>
              <w:rPr>
                <w:sz w:val="17"/>
              </w:rPr>
              <w:t xml:space="preserve">, </w:t>
            </w:r>
            <w:r>
              <w:rPr>
                <w:rFonts w:ascii="Consolas" w:hAnsi="Consolas" w:eastAsia="Consolas"/>
                <w:color w:val="1F4E79"/>
                <w:sz w:val="17"/>
              </w:rPr>
              <w:t>SEG-KPay-Nuevos-0a30d</w:t>
            </w:r>
          </w:p>
        </w:tc>
        <w:tc>
          <w:tcPr>
            <w:tcW w:type="dxa" w:w="2518"/>
          </w:tcPr>
          <w:p>
            <w:pPr>
              <w:spacing w:after="0"/>
            </w:pPr>
            <w:r/>
            <w:r>
              <w:rPr>
                <w:sz w:val="17"/>
              </w:rPr>
              <w:t>Primer crédito o primera compra en los últimos 30 días</w:t>
            </w:r>
          </w:p>
        </w:tc>
        <w:tc>
          <w:tcPr>
            <w:tcW w:type="dxa" w:w="2605"/>
          </w:tcPr>
          <w:p>
            <w:pPr>
              <w:spacing w:after="0"/>
            </w:pPr>
            <w:r/>
            <w:r>
              <w:rPr>
                <w:sz w:val="17"/>
              </w:rPr>
              <w:t>Lending (KCash), Sales (KPay)</w:t>
            </w:r>
          </w:p>
        </w:tc>
      </w:tr>
      <w:tr>
        <w:tc>
          <w:tcPr>
            <w:tcW w:type="dxa" w:w="1910"/>
          </w:tcPr>
          <w:p>
            <w:pPr>
              <w:spacing w:after="0"/>
            </w:pPr>
            <w:r/>
            <w:r>
              <w:rPr>
                <w:sz w:val="17"/>
              </w:rPr>
              <w:t>Activos y recurrentes</w:t>
            </w:r>
          </w:p>
        </w:tc>
        <w:tc>
          <w:tcPr>
            <w:tcW w:type="dxa" w:w="2605"/>
          </w:tcPr>
          <w:p>
            <w:pPr>
              <w:spacing w:after="0"/>
            </w:pPr>
            <w:r/>
            <w:r>
              <w:rPr>
                <w:rFonts w:ascii="Consolas" w:hAnsi="Consolas" w:eastAsia="Consolas"/>
                <w:color w:val="1F4E79"/>
                <w:sz w:val="17"/>
              </w:rPr>
              <w:t>SEG-KCash-Activos</w:t>
            </w:r>
            <w:r>
              <w:rPr>
                <w:sz w:val="17"/>
              </w:rPr>
              <w:t xml:space="preserve">, </w:t>
            </w:r>
            <w:r>
              <w:rPr>
                <w:rFonts w:ascii="Consolas" w:hAnsi="Consolas" w:eastAsia="Consolas"/>
                <w:color w:val="1F4E79"/>
                <w:sz w:val="17"/>
              </w:rPr>
              <w:t>SEG-KCash-Recurrentes-2masCreditos</w:t>
            </w:r>
            <w:r>
              <w:rPr>
                <w:sz w:val="17"/>
              </w:rPr>
              <w:t xml:space="preserve">, </w:t>
            </w:r>
            <w:r>
              <w:rPr>
                <w:rFonts w:ascii="Consolas" w:hAnsi="Consolas" w:eastAsia="Consolas"/>
                <w:color w:val="1F4E79"/>
                <w:sz w:val="17"/>
              </w:rPr>
              <w:t>SEG-KPay-Recurrentes-Compra90d</w:t>
            </w:r>
          </w:p>
        </w:tc>
        <w:tc>
          <w:tcPr>
            <w:tcW w:type="dxa" w:w="2518"/>
          </w:tcPr>
          <w:p>
            <w:pPr>
              <w:spacing w:after="0"/>
            </w:pPr>
            <w:r/>
            <w:r>
              <w:rPr>
                <w:sz w:val="17"/>
              </w:rPr>
              <w:t>Con producto vivo o uso en 90 días</w:t>
            </w:r>
          </w:p>
        </w:tc>
        <w:tc>
          <w:tcPr>
            <w:tcW w:type="dxa" w:w="2605"/>
          </w:tcPr>
          <w:p>
            <w:pPr>
              <w:spacing w:after="0"/>
            </w:pPr>
            <w:r/>
            <w:r>
              <w:rPr>
                <w:sz w:val="17"/>
              </w:rPr>
              <w:t>Lending, Sales</w:t>
            </w:r>
          </w:p>
        </w:tc>
      </w:tr>
      <w:tr>
        <w:tc>
          <w:tcPr>
            <w:tcW w:type="dxa" w:w="1910"/>
          </w:tcPr>
          <w:p>
            <w:pPr>
              <w:spacing w:after="0"/>
            </w:pPr>
            <w:r/>
            <w:r>
              <w:rPr>
                <w:sz w:val="17"/>
              </w:rPr>
              <w:t>Fríos</w:t>
            </w:r>
          </w:p>
        </w:tc>
        <w:tc>
          <w:tcPr>
            <w:tcW w:type="dxa" w:w="2605"/>
          </w:tcPr>
          <w:p>
            <w:pPr>
              <w:spacing w:after="0"/>
            </w:pPr>
            <w:r/>
            <w:r>
              <w:rPr>
                <w:rFonts w:ascii="Consolas" w:hAnsi="Consolas" w:eastAsia="Consolas"/>
                <w:color w:val="1F4E79"/>
                <w:sz w:val="17"/>
              </w:rPr>
              <w:t>SEG-KCash-Inactivos-90a180d</w:t>
            </w:r>
            <w:r>
              <w:rPr>
                <w:sz w:val="17"/>
              </w:rPr>
              <w:t xml:space="preserve">, </w:t>
            </w:r>
            <w:r>
              <w:rPr>
                <w:rFonts w:ascii="Consolas" w:hAnsi="Consolas" w:eastAsia="Consolas"/>
                <w:color w:val="1F4E79"/>
                <w:sz w:val="17"/>
              </w:rPr>
              <w:t>SEG-KCash-Dormants-180a360d</w:t>
            </w:r>
            <w:r>
              <w:rPr>
                <w:sz w:val="17"/>
              </w:rPr>
              <w:t xml:space="preserve">, </w:t>
            </w:r>
            <w:r>
              <w:rPr>
                <w:rFonts w:ascii="Consolas" w:hAnsi="Consolas" w:eastAsia="Consolas"/>
                <w:color w:val="1F4E79"/>
                <w:sz w:val="17"/>
              </w:rPr>
              <w:t>SEG-KPay-Churn-12m</w:t>
            </w:r>
            <w:r>
              <w:rPr>
                <w:sz w:val="17"/>
              </w:rPr>
              <w:t xml:space="preserve">, </w:t>
            </w:r>
            <w:r>
              <w:rPr>
                <w:rFonts w:ascii="Consolas" w:hAnsi="Consolas" w:eastAsia="Consolas"/>
                <w:color w:val="1F4E79"/>
                <w:sz w:val="17"/>
              </w:rPr>
              <w:t>SEG-KCash-NeverActive</w:t>
            </w:r>
          </w:p>
        </w:tc>
        <w:tc>
          <w:tcPr>
            <w:tcW w:type="dxa" w:w="2518"/>
          </w:tcPr>
          <w:p>
            <w:pPr>
              <w:spacing w:after="0"/>
            </w:pPr>
            <w:r/>
            <w:r>
              <w:rPr>
                <w:sz w:val="17"/>
              </w:rPr>
              <w:t>Sin uso en la ventana; NeverActive = aprobado sin disponer</w:t>
            </w:r>
          </w:p>
        </w:tc>
        <w:tc>
          <w:tcPr>
            <w:tcW w:type="dxa" w:w="2605"/>
          </w:tcPr>
          <w:p>
            <w:pPr>
              <w:spacing w:after="0"/>
            </w:pPr>
            <w:r/>
            <w:r>
              <w:rPr>
                <w:sz w:val="17"/>
              </w:rPr>
              <w:t>Un solo dueño para toda la familia: Lending. Marketing no crea segmentos fríos propios.</w:t>
            </w:r>
          </w:p>
        </w:tc>
      </w:tr>
      <w:tr>
        <w:tc>
          <w:tcPr>
            <w:tcW w:type="dxa" w:w="1910"/>
          </w:tcPr>
          <w:p>
            <w:pPr>
              <w:spacing w:after="0"/>
            </w:pPr>
            <w:r/>
            <w:r>
              <w:rPr>
                <w:sz w:val="17"/>
              </w:rPr>
              <w:t>Cobranza</w:t>
            </w:r>
          </w:p>
        </w:tc>
        <w:tc>
          <w:tcPr>
            <w:tcW w:type="dxa" w:w="2605"/>
          </w:tcPr>
          <w:p>
            <w:pPr>
              <w:spacing w:after="0"/>
            </w:pPr>
            <w:r/>
            <w:r>
              <w:rPr>
                <w:rFonts w:ascii="Consolas" w:hAnsi="Consolas" w:eastAsia="Consolas"/>
                <w:color w:val="1F4E79"/>
                <w:sz w:val="17"/>
              </w:rPr>
              <w:t>SEG-KCash-BKT1</w:t>
            </w:r>
            <w:r>
              <w:rPr>
                <w:sz w:val="17"/>
              </w:rPr>
              <w:t xml:space="preserve">, </w:t>
            </w:r>
            <w:r>
              <w:rPr>
                <w:rFonts w:ascii="Consolas" w:hAnsi="Consolas" w:eastAsia="Consolas"/>
                <w:color w:val="1F4E79"/>
                <w:sz w:val="17"/>
              </w:rPr>
              <w:t>SEG-KCash-BKT2</w:t>
            </w:r>
            <w:r>
              <w:rPr>
                <w:sz w:val="17"/>
              </w:rPr>
              <w:t xml:space="preserve">, </w:t>
            </w:r>
            <w:r>
              <w:rPr>
                <w:rFonts w:ascii="Consolas" w:hAnsi="Consolas" w:eastAsia="Consolas"/>
                <w:color w:val="1F4E79"/>
                <w:sz w:val="17"/>
              </w:rPr>
              <w:t>SEG-KCash-BKT3</w:t>
            </w:r>
            <w:r>
              <w:rPr>
                <w:sz w:val="17"/>
              </w:rPr>
              <w:t xml:space="preserve">, </w:t>
            </w:r>
            <w:r>
              <w:rPr>
                <w:rFonts w:ascii="Consolas" w:hAnsi="Consolas" w:eastAsia="Consolas"/>
                <w:color w:val="1F4E79"/>
                <w:sz w:val="17"/>
              </w:rPr>
              <w:t>SEG-KCash-Precobranza</w:t>
            </w:r>
          </w:p>
        </w:tc>
        <w:tc>
          <w:tcPr>
            <w:tcW w:type="dxa" w:w="2518"/>
          </w:tcPr>
          <w:p>
            <w:pPr>
              <w:spacing w:after="0"/>
            </w:pPr>
            <w:r/>
            <w:r>
              <w:rPr>
                <w:sz w:val="17"/>
              </w:rPr>
              <w:t>Días de atraso</w:t>
            </w:r>
          </w:p>
        </w:tc>
        <w:tc>
          <w:tcPr>
            <w:tcW w:type="dxa" w:w="2605"/>
          </w:tcPr>
          <w:p>
            <w:pPr>
              <w:spacing w:after="0"/>
            </w:pPr>
            <w:r/>
            <w:r>
              <w:rPr>
                <w:sz w:val="17"/>
              </w:rPr>
              <w:t>Collections</w:t>
            </w:r>
          </w:p>
        </w:tc>
      </w:tr>
      <w:tr>
        <w:tc>
          <w:tcPr>
            <w:tcW w:type="dxa" w:w="1910"/>
          </w:tcPr>
          <w:p>
            <w:pPr>
              <w:spacing w:after="0"/>
            </w:pPr>
            <w:r/>
            <w:r>
              <w:rPr>
                <w:sz w:val="17"/>
              </w:rPr>
              <w:t>Comercios</w:t>
            </w:r>
          </w:p>
        </w:tc>
        <w:tc>
          <w:tcPr>
            <w:tcW w:type="dxa" w:w="2605"/>
          </w:tcPr>
          <w:p>
            <w:pPr>
              <w:spacing w:after="0"/>
            </w:pPr>
            <w:r/>
            <w:r>
              <w:rPr>
                <w:rFonts w:ascii="Consolas" w:hAnsi="Consolas" w:eastAsia="Consolas"/>
                <w:color w:val="1F4E79"/>
                <w:sz w:val="17"/>
              </w:rPr>
              <w:t>SEG-KPayB2B-Comercios-Activos</w:t>
            </w:r>
            <w:r>
              <w:rPr>
                <w:sz w:val="17"/>
              </w:rPr>
              <w:t xml:space="preserve">, </w:t>
            </w:r>
            <w:r>
              <w:rPr>
                <w:rFonts w:ascii="Consolas" w:hAnsi="Consolas" w:eastAsia="Consolas"/>
                <w:color w:val="1F4E79"/>
                <w:sz w:val="17"/>
              </w:rPr>
              <w:t>SEG-KPayB2B-Comercios-Inactivos</w:t>
            </w:r>
          </w:p>
        </w:tc>
        <w:tc>
          <w:tcPr>
            <w:tcW w:type="dxa" w:w="2518"/>
          </w:tcPr>
          <w:p>
            <w:pPr>
              <w:spacing w:after="0"/>
            </w:pPr>
            <w:r/>
          </w:p>
        </w:tc>
        <w:tc>
          <w:tcPr>
            <w:tcW w:type="dxa" w:w="2605"/>
          </w:tcPr>
          <w:p>
            <w:pPr>
              <w:spacing w:after="0"/>
            </w:pPr>
            <w:r/>
            <w:r>
              <w:rPr>
                <w:sz w:val="17"/>
              </w:rPr>
              <w:t>Sales</w:t>
            </w:r>
          </w:p>
        </w:tc>
      </w:tr>
      <w:tr>
        <w:tc>
          <w:tcPr>
            <w:tcW w:type="dxa" w:w="1910"/>
          </w:tcPr>
          <w:p>
            <w:pPr>
              <w:spacing w:after="0"/>
            </w:pPr>
            <w:r/>
            <w:r>
              <w:rPr>
                <w:sz w:val="17"/>
              </w:rPr>
              <w:t>Exclusión (se aplican a todo lo promocional)</w:t>
            </w:r>
          </w:p>
        </w:tc>
        <w:tc>
          <w:tcPr>
            <w:tcW w:type="dxa" w:w="2605"/>
          </w:tcPr>
          <w:p>
            <w:pPr>
              <w:spacing w:after="0"/>
            </w:pPr>
            <w:r/>
            <w:r>
              <w:rPr>
                <w:rFonts w:ascii="Consolas" w:hAnsi="Consolas" w:eastAsia="Consolas"/>
                <w:color w:val="1F4E79"/>
                <w:sz w:val="17"/>
              </w:rPr>
              <w:t>EXC-Global-Blacklist</w:t>
            </w:r>
            <w:r>
              <w:rPr>
                <w:sz w:val="17"/>
              </w:rPr>
              <w:t xml:space="preserve">, </w:t>
            </w:r>
            <w:r>
              <w:rPr>
                <w:rFonts w:ascii="Consolas" w:hAnsi="Consolas" w:eastAsia="Consolas"/>
                <w:color w:val="1F4E79"/>
                <w:sz w:val="17"/>
              </w:rPr>
              <w:t>EXC-Global-REUS_ARCO</w:t>
            </w:r>
            <w:r>
              <w:rPr>
                <w:sz w:val="17"/>
              </w:rPr>
              <w:t xml:space="preserve">, </w:t>
            </w:r>
            <w:r>
              <w:rPr>
                <w:rFonts w:ascii="Consolas" w:hAnsi="Consolas" w:eastAsia="Consolas"/>
                <w:color w:val="1F4E79"/>
                <w:sz w:val="17"/>
              </w:rPr>
              <w:t>EXC-KPay-CCFreeze</w:t>
            </w:r>
            <w:r>
              <w:rPr>
                <w:sz w:val="17"/>
              </w:rPr>
              <w:t xml:space="preserve">, </w:t>
            </w:r>
            <w:r>
              <w:rPr>
                <w:rFonts w:ascii="Consolas" w:hAnsi="Consolas" w:eastAsia="Consolas"/>
                <w:color w:val="1F4E79"/>
                <w:sz w:val="17"/>
              </w:rPr>
              <w:t>EXC-Global-BajaEmail</w:t>
            </w:r>
            <w:r>
              <w:rPr>
                <w:sz w:val="17"/>
              </w:rPr>
              <w:t xml:space="preserve">, </w:t>
            </w:r>
            <w:r>
              <w:rPr>
                <w:rFonts w:ascii="Consolas" w:hAnsi="Consolas" w:eastAsia="Consolas"/>
                <w:color w:val="1F4E79"/>
                <w:sz w:val="17"/>
              </w:rPr>
              <w:t>EXC-WA-SinEntrega3</w:t>
            </w:r>
            <w:r>
              <w:rPr>
                <w:sz w:val="17"/>
              </w:rPr>
              <w:t xml:space="preserve">, </w:t>
            </w:r>
            <w:r>
              <w:rPr>
                <w:rFonts w:ascii="Consolas" w:hAnsi="Consolas" w:eastAsia="Consolas"/>
                <w:color w:val="1F4E79"/>
                <w:sz w:val="17"/>
              </w:rPr>
              <w:t>EXC-Global-SinRespuesta90d</w:t>
            </w:r>
            <w:r>
              <w:rPr>
                <w:sz w:val="17"/>
              </w:rPr>
              <w:t xml:space="preserve">, </w:t>
            </w:r>
            <w:r>
              <w:rPr>
                <w:rFonts w:ascii="Consolas" w:hAnsi="Consolas" w:eastAsia="Consolas"/>
                <w:color w:val="1F4E79"/>
                <w:sz w:val="17"/>
              </w:rPr>
              <w:t>EXC-Interno-Empleados</w:t>
            </w:r>
          </w:p>
        </w:tc>
        <w:tc>
          <w:tcPr>
            <w:tcW w:type="dxa" w:w="2518"/>
          </w:tcPr>
          <w:p>
            <w:pPr>
              <w:spacing w:after="0"/>
            </w:pPr>
            <w:r/>
            <w:r>
              <w:rPr>
                <w:sz w:val="17"/>
              </w:rPr>
              <w:t>Ver B1</w:t>
            </w:r>
          </w:p>
        </w:tc>
        <w:tc>
          <w:tcPr>
            <w:tcW w:type="dxa" w:w="2605"/>
          </w:tcPr>
          <w:p>
            <w:pPr>
              <w:spacing w:after="0"/>
            </w:pPr>
            <w:r/>
            <w:r>
              <w:rPr>
                <w:sz w:val="17"/>
              </w:rPr>
              <w:t>CRM o MarTech, con Legal para REUS y ARCO</w:t>
            </w:r>
          </w:p>
        </w:tc>
      </w:tr>
      <w:tr>
        <w:tc>
          <w:tcPr>
            <w:tcW w:type="dxa" w:w="1910"/>
          </w:tcPr>
          <w:p>
            <w:pPr>
              <w:spacing w:after="0"/>
            </w:pPr>
            <w:r/>
            <w:r>
              <w:rPr>
                <w:sz w:val="17"/>
              </w:rPr>
              <w:t>Interno</w:t>
            </w:r>
          </w:p>
        </w:tc>
        <w:tc>
          <w:tcPr>
            <w:tcW w:type="dxa" w:w="2605"/>
          </w:tcPr>
          <w:p>
            <w:pPr>
              <w:spacing w:after="0"/>
            </w:pPr>
            <w:r/>
            <w:r>
              <w:rPr>
                <w:rFonts w:ascii="Consolas" w:hAnsi="Consolas" w:eastAsia="Consolas"/>
                <w:color w:val="1F4E79"/>
                <w:sz w:val="17"/>
              </w:rPr>
              <w:t>SEG-Interno-QA</w:t>
            </w:r>
          </w:p>
        </w:tc>
        <w:tc>
          <w:tcPr>
            <w:tcW w:type="dxa" w:w="2518"/>
          </w:tcPr>
          <w:p>
            <w:pPr>
              <w:spacing w:after="0"/>
            </w:pPr>
            <w:r/>
            <w:r>
              <w:rPr>
                <w:sz w:val="17"/>
              </w:rPr>
              <w:t>Cuentas de prueba del equipo</w:t>
            </w:r>
          </w:p>
        </w:tc>
        <w:tc>
          <w:tcPr>
            <w:tcW w:type="dxa" w:w="2605"/>
          </w:tcPr>
          <w:p>
            <w:pPr>
              <w:spacing w:after="0"/>
            </w:pPr>
            <w:r/>
            <w:r>
              <w:rPr>
                <w:sz w:val="17"/>
              </w:rPr>
              <w:t>MarTech</w:t>
            </w:r>
          </w:p>
        </w:tc>
      </w:tr>
    </w:tbl>
    <w:p>
      <w:pPr>
        <w:spacing w:after="40"/>
      </w:pPr>
    </w:p>
    <w:p>
      <w:pPr>
        <w:spacing w:after="120"/>
      </w:pPr>
      <w:r>
        <w:t>Reglas:</w:t>
      </w:r>
    </w:p>
    <w:p>
      <w:pPr>
        <w:pStyle w:val="ListBullet"/>
      </w:pPr>
      <w:r>
        <w:t>Los segmentos maestros los crea y mantiene un solo dueño por familia. Las campañas usan el maestro y afinan con filtros dentro del Canvas (por ejemplo "y abrió un push en 60 días"); no crean un segmento nuevo para cada campaña.</w:t>
      </w:r>
    </w:p>
    <w:p>
      <w:pPr>
        <w:pStyle w:val="ListBullet"/>
      </w:pPr>
      <w:r>
        <w:t>Un segmento nuevo se justifica solo si ningún maestro más un filtro lo cubre. Se pide en el ticket y lo aprueba el dueño de la familia.</w:t>
      </w:r>
    </w:p>
    <w:p>
      <w:pPr>
        <w:pStyle w:val="ListBullet"/>
      </w:pPr>
      <w:r>
        <w:t xml:space="preserve">Revisión trimestral: se archivan los segmentos sin uso en 90 días. Los segmentos con nombre fuera de </w:t>
      </w:r>
      <w:r>
        <w:rPr>
          <w:rFonts w:ascii="Consolas" w:hAnsi="Consolas" w:eastAsia="Consolas"/>
          <w:color w:val="1F4E79"/>
        </w:rPr>
        <w:t>SEG-</w:t>
      </w:r>
      <w:r>
        <w:t xml:space="preserve"> o </w:t>
      </w:r>
      <w:r>
        <w:rPr>
          <w:rFonts w:ascii="Consolas" w:hAnsi="Consolas" w:eastAsia="Consolas"/>
          <w:color w:val="1F4E79"/>
        </w:rPr>
        <w:t>EXC-</w:t>
      </w:r>
      <w:r>
        <w:t xml:space="preserve"> se renombran o se archivan.</w:t>
      </w:r>
    </w:p>
    <w:p>
      <w:pPr>
        <w:pStyle w:val="ListBullet"/>
      </w:pPr>
      <w:r>
        <w:t>Los atributos que alimentan las etapas (</w:t>
      </w:r>
      <w:r>
        <w:rPr>
          <w:rFonts w:ascii="Consolas" w:hAnsi="Consolas" w:eastAsia="Consolas"/>
          <w:color w:val="1F4E79"/>
        </w:rPr>
        <w:t>etapa_golden</w:t>
      </w:r>
      <w:r>
        <w:t xml:space="preserve">, </w:t>
      </w:r>
      <w:r>
        <w:rPr>
          <w:rFonts w:ascii="Consolas" w:hAnsi="Consolas" w:eastAsia="Consolas"/>
          <w:color w:val="1F4E79"/>
        </w:rPr>
        <w:t>dias_sin_uso</w:t>
      </w:r>
      <w:r>
        <w:t xml:space="preserve">, </w:t>
      </w:r>
      <w:r>
        <w:rPr>
          <w:rFonts w:ascii="Consolas" w:hAnsi="Consolas" w:eastAsia="Consolas"/>
          <w:color w:val="1F4E79"/>
        </w:rPr>
        <w:t>producto_activo</w:t>
      </w:r>
      <w:r>
        <w:t>) vienen del golden dataset vía la sincronización a Braze (A7); el segmento no recalcula la lógica.</w:t>
      </w:r>
    </w:p>
    <w:p>
      <w:pPr>
        <w:pStyle w:val="Heading2"/>
      </w:pPr>
      <w:r>
        <w:t>A5. Tags: lista cerrada y obligatoria</w:t>
      </w:r>
    </w:p>
    <w:p>
      <w:pPr>
        <w:spacing w:after="120"/>
      </w:pPr>
      <w:r>
        <w:t>Los tags no están en Databricks, así que no se pudo auditar cómo se usan hoy. La regla es de diseño y se audita con una exportación del admin de Braze.</w:t>
      </w:r>
    </w:p>
    <w:p>
      <w:pPr>
        <w:spacing w:after="120"/>
      </w:pPr>
      <w:r>
        <w:t>Cuatro dimensiones, un tag de cada una, máximo 6 tags por pieza:</w:t>
      </w:r>
    </w:p>
    <w:tbl>
      <w:tblPr>
        <w:tblStyle w:val="TableGrid"/>
        <w:tblW w:type="auto" w:w="0"/>
        <w:jc w:val="center"/>
        <w:tblLayout w:type="fixed"/>
        <w:tblLook w:firstColumn="1" w:firstRow="1" w:lastColumn="0" w:lastRow="0" w:noHBand="0" w:noVBand="1" w:val="04A0"/>
      </w:tblPr>
      <w:tblGrid>
        <w:gridCol w:w="4986"/>
        <w:gridCol w:w="4986"/>
      </w:tblGrid>
      <w:tr>
        <w:tc>
          <w:tcPr>
            <w:tcW w:type="dxa" w:w="2671"/>
            <w:shd w:val="clear" w:color="auto" w:fill="E8EEF4"/>
          </w:tcPr>
          <w:p>
            <w:pPr>
              <w:spacing w:after="0"/>
            </w:pPr>
            <w:r>
              <w:rPr>
                <w:b/>
              </w:rPr>
            </w:r>
            <w:r>
              <w:rPr>
                <w:b/>
                <w:sz w:val="17"/>
              </w:rPr>
              <w:t>Dimensión</w:t>
            </w:r>
          </w:p>
        </w:tc>
        <w:tc>
          <w:tcPr>
            <w:tcW w:type="dxa" w:w="6967"/>
            <w:shd w:val="clear" w:color="auto" w:fill="E8EEF4"/>
          </w:tcPr>
          <w:p>
            <w:pPr>
              <w:spacing w:after="0"/>
            </w:pPr>
            <w:r>
              <w:rPr>
                <w:b/>
              </w:rPr>
            </w:r>
            <w:r>
              <w:rPr>
                <w:b/>
                <w:sz w:val="17"/>
              </w:rPr>
              <w:t>Valores</w:t>
            </w:r>
          </w:p>
        </w:tc>
      </w:tr>
      <w:tr>
        <w:tc>
          <w:tcPr>
            <w:tcW w:type="dxa" w:w="2671"/>
          </w:tcPr>
          <w:p>
            <w:pPr>
              <w:spacing w:after="0"/>
            </w:pPr>
            <w:r/>
            <w:r>
              <w:rPr>
                <w:sz w:val="17"/>
              </w:rPr>
              <w:t>Tipo</w:t>
            </w:r>
          </w:p>
        </w:tc>
        <w:tc>
          <w:tcPr>
            <w:tcW w:type="dxa" w:w="6967"/>
          </w:tcPr>
          <w:p>
            <w:pPr>
              <w:spacing w:after="0"/>
            </w:pPr>
            <w:r/>
            <w:r>
              <w:rPr>
                <w:rFonts w:ascii="Consolas" w:hAnsi="Consolas" w:eastAsia="Consolas"/>
                <w:color w:val="1F4E79"/>
                <w:sz w:val="17"/>
              </w:rPr>
              <w:t>tipo:promocional</w:t>
            </w:r>
            <w:r>
              <w:rPr>
                <w:sz w:val="17"/>
              </w:rPr>
              <w:t xml:space="preserve">, </w:t>
            </w:r>
            <w:r>
              <w:rPr>
                <w:rFonts w:ascii="Consolas" w:hAnsi="Consolas" w:eastAsia="Consolas"/>
                <w:color w:val="1F4E79"/>
                <w:sz w:val="17"/>
              </w:rPr>
              <w:t>tipo:lifecycle</w:t>
            </w:r>
            <w:r>
              <w:rPr>
                <w:sz w:val="17"/>
              </w:rPr>
              <w:t xml:space="preserve">, </w:t>
            </w:r>
            <w:r>
              <w:rPr>
                <w:rFonts w:ascii="Consolas" w:hAnsi="Consolas" w:eastAsia="Consolas"/>
                <w:color w:val="1F4E79"/>
                <w:sz w:val="17"/>
              </w:rPr>
              <w:t>tipo:transaccional</w:t>
            </w:r>
            <w:r>
              <w:rPr>
                <w:sz w:val="17"/>
              </w:rPr>
              <w:t xml:space="preserve">, </w:t>
            </w:r>
            <w:r>
              <w:rPr>
                <w:rFonts w:ascii="Consolas" w:hAnsi="Consolas" w:eastAsia="Consolas"/>
                <w:color w:val="1F4E79"/>
                <w:sz w:val="17"/>
              </w:rPr>
              <w:t>tipo:cobranza</w:t>
            </w:r>
            <w:r>
              <w:rPr>
                <w:sz w:val="17"/>
              </w:rPr>
              <w:t xml:space="preserve">, </w:t>
            </w:r>
            <w:r>
              <w:rPr>
                <w:rFonts w:ascii="Consolas" w:hAnsi="Consolas" w:eastAsia="Consolas"/>
                <w:color w:val="1F4E79"/>
                <w:sz w:val="17"/>
              </w:rPr>
              <w:t>tipo:interno</w:t>
            </w:r>
          </w:p>
        </w:tc>
      </w:tr>
      <w:tr>
        <w:tc>
          <w:tcPr>
            <w:tcW w:type="dxa" w:w="2671"/>
          </w:tcPr>
          <w:p>
            <w:pPr>
              <w:spacing w:after="0"/>
            </w:pPr>
            <w:r/>
            <w:r>
              <w:rPr>
                <w:sz w:val="17"/>
              </w:rPr>
              <w:t>Equipo</w:t>
            </w:r>
          </w:p>
        </w:tc>
        <w:tc>
          <w:tcPr>
            <w:tcW w:type="dxa" w:w="6967"/>
          </w:tcPr>
          <w:p>
            <w:pPr>
              <w:spacing w:after="0"/>
            </w:pPr>
            <w:r/>
            <w:r>
              <w:rPr>
                <w:rFonts w:ascii="Consolas" w:hAnsi="Consolas" w:eastAsia="Consolas"/>
                <w:color w:val="1F4E79"/>
                <w:sz w:val="17"/>
              </w:rPr>
              <w:t>equipo:marketing</w:t>
            </w:r>
            <w:r>
              <w:rPr>
                <w:sz w:val="17"/>
              </w:rPr>
              <w:t xml:space="preserve">, </w:t>
            </w:r>
            <w:r>
              <w:rPr>
                <w:rFonts w:ascii="Consolas" w:hAnsi="Consolas" w:eastAsia="Consolas"/>
                <w:color w:val="1F4E79"/>
                <w:sz w:val="17"/>
              </w:rPr>
              <w:t>equipo:lending</w:t>
            </w:r>
            <w:r>
              <w:rPr>
                <w:sz w:val="17"/>
              </w:rPr>
              <w:t xml:space="preserve">, </w:t>
            </w:r>
            <w:r>
              <w:rPr>
                <w:rFonts w:ascii="Consolas" w:hAnsi="Consolas" w:eastAsia="Consolas"/>
                <w:color w:val="1F4E79"/>
                <w:sz w:val="17"/>
              </w:rPr>
              <w:t>equipo:sales</w:t>
            </w:r>
            <w:r>
              <w:rPr>
                <w:sz w:val="17"/>
              </w:rPr>
              <w:t xml:space="preserve">, </w:t>
            </w:r>
            <w:r>
              <w:rPr>
                <w:rFonts w:ascii="Consolas" w:hAnsi="Consolas" w:eastAsia="Consolas"/>
                <w:color w:val="1F4E79"/>
                <w:sz w:val="17"/>
              </w:rPr>
              <w:t>equipo:collections</w:t>
            </w:r>
            <w:r>
              <w:rPr>
                <w:sz w:val="17"/>
              </w:rPr>
              <w:t xml:space="preserve">, </w:t>
            </w:r>
            <w:r>
              <w:rPr>
                <w:rFonts w:ascii="Consolas" w:hAnsi="Consolas" w:eastAsia="Consolas"/>
                <w:color w:val="1F4E79"/>
                <w:sz w:val="17"/>
              </w:rPr>
              <w:t>equipo:acquisition</w:t>
            </w:r>
            <w:r>
              <w:rPr>
                <w:sz w:val="17"/>
              </w:rPr>
              <w:t xml:space="preserve">, </w:t>
            </w:r>
            <w:r>
              <w:rPr>
                <w:rFonts w:ascii="Consolas" w:hAnsi="Consolas" w:eastAsia="Consolas"/>
                <w:color w:val="1F4E79"/>
                <w:sz w:val="17"/>
              </w:rPr>
              <w:t>equipo:producto</w:t>
            </w:r>
            <w:r>
              <w:rPr>
                <w:sz w:val="17"/>
              </w:rPr>
              <w:t xml:space="preserve">, </w:t>
            </w:r>
            <w:r>
              <w:rPr>
                <w:rFonts w:ascii="Consolas" w:hAnsi="Consolas" w:eastAsia="Consolas"/>
                <w:color w:val="1F4E79"/>
                <w:sz w:val="17"/>
              </w:rPr>
              <w:t>equipo:compliance</w:t>
            </w:r>
          </w:p>
        </w:tc>
      </w:tr>
      <w:tr>
        <w:tc>
          <w:tcPr>
            <w:tcW w:type="dxa" w:w="2671"/>
          </w:tcPr>
          <w:p>
            <w:pPr>
              <w:spacing w:after="0"/>
            </w:pPr>
            <w:r/>
            <w:r>
              <w:rPr>
                <w:sz w:val="17"/>
              </w:rPr>
              <w:t>Producto</w:t>
            </w:r>
          </w:p>
        </w:tc>
        <w:tc>
          <w:tcPr>
            <w:tcW w:type="dxa" w:w="6967"/>
          </w:tcPr>
          <w:p>
            <w:pPr>
              <w:spacing w:after="0"/>
            </w:pPr>
            <w:r/>
            <w:r>
              <w:rPr>
                <w:rFonts w:ascii="Consolas" w:hAnsi="Consolas" w:eastAsia="Consolas"/>
                <w:color w:val="1F4E79"/>
                <w:sz w:val="17"/>
              </w:rPr>
              <w:t>prod:kcash</w:t>
            </w:r>
            <w:r>
              <w:rPr>
                <w:sz w:val="17"/>
              </w:rPr>
              <w:t xml:space="preserve">, </w:t>
            </w:r>
            <w:r>
              <w:rPr>
                <w:rFonts w:ascii="Consolas" w:hAnsi="Consolas" w:eastAsia="Consolas"/>
                <w:color w:val="1F4E79"/>
                <w:sz w:val="17"/>
              </w:rPr>
              <w:t>prod:kpay</w:t>
            </w:r>
            <w:r>
              <w:rPr>
                <w:sz w:val="17"/>
              </w:rPr>
              <w:t xml:space="preserve">, </w:t>
            </w:r>
            <w:r>
              <w:rPr>
                <w:rFonts w:ascii="Consolas" w:hAnsi="Consolas" w:eastAsia="Consolas"/>
                <w:color w:val="1F4E79"/>
                <w:sz w:val="17"/>
              </w:rPr>
              <w:t>prod:billpay</w:t>
            </w:r>
            <w:r>
              <w:rPr>
                <w:sz w:val="17"/>
              </w:rPr>
              <w:t xml:space="preserve">, </w:t>
            </w:r>
            <w:r>
              <w:rPr>
                <w:rFonts w:ascii="Consolas" w:hAnsi="Consolas" w:eastAsia="Consolas"/>
                <w:color w:val="1F4E79"/>
                <w:sz w:val="17"/>
              </w:rPr>
              <w:t>prod:ecosistema</w:t>
            </w:r>
            <w:r>
              <w:rPr>
                <w:sz w:val="17"/>
              </w:rPr>
              <w:t xml:space="preserve">, </w:t>
            </w:r>
            <w:r>
              <w:rPr>
                <w:rFonts w:ascii="Consolas" w:hAnsi="Consolas" w:eastAsia="Consolas"/>
                <w:color w:val="1F4E79"/>
                <w:sz w:val="17"/>
              </w:rPr>
              <w:t>prod:kueski</w:t>
            </w:r>
          </w:p>
        </w:tc>
      </w:tr>
      <w:tr>
        <w:tc>
          <w:tcPr>
            <w:tcW w:type="dxa" w:w="2671"/>
          </w:tcPr>
          <w:p>
            <w:pPr>
              <w:spacing w:after="0"/>
            </w:pPr>
            <w:r/>
            <w:r>
              <w:rPr>
                <w:sz w:val="17"/>
              </w:rPr>
              <w:t>Trimestre de activación</w:t>
            </w:r>
          </w:p>
        </w:tc>
        <w:tc>
          <w:tcPr>
            <w:tcW w:type="dxa" w:w="6967"/>
          </w:tcPr>
          <w:p>
            <w:pPr>
              <w:spacing w:after="0"/>
            </w:pPr>
            <w:r/>
            <w:r>
              <w:rPr>
                <w:rFonts w:ascii="Consolas" w:hAnsi="Consolas" w:eastAsia="Consolas"/>
                <w:color w:val="1F4E79"/>
                <w:sz w:val="17"/>
              </w:rPr>
              <w:t>q:2026Q4</w:t>
            </w:r>
            <w:r>
              <w:rPr>
                <w:sz w:val="17"/>
              </w:rPr>
              <w:t xml:space="preserve">, </w:t>
            </w:r>
            <w:r>
              <w:rPr>
                <w:rFonts w:ascii="Consolas" w:hAnsi="Consolas" w:eastAsia="Consolas"/>
                <w:color w:val="1F4E79"/>
                <w:sz w:val="17"/>
              </w:rPr>
              <w:t>q:2027Q1</w:t>
            </w:r>
          </w:p>
        </w:tc>
      </w:tr>
      <w:tr>
        <w:tc>
          <w:tcPr>
            <w:tcW w:type="dxa" w:w="2671"/>
          </w:tcPr>
          <w:p>
            <w:pPr>
              <w:spacing w:after="0"/>
            </w:pPr>
            <w:r/>
            <w:r>
              <w:rPr>
                <w:sz w:val="17"/>
              </w:rPr>
              <w:t>Opcionales</w:t>
            </w:r>
          </w:p>
        </w:tc>
        <w:tc>
          <w:tcPr>
            <w:tcW w:type="dxa" w:w="6967"/>
          </w:tcPr>
          <w:p>
            <w:pPr>
              <w:spacing w:after="0"/>
            </w:pPr>
            <w:r/>
            <w:r>
              <w:rPr>
                <w:rFonts w:ascii="Consolas" w:hAnsi="Consolas" w:eastAsia="Consolas"/>
                <w:color w:val="1F4E79"/>
                <w:sz w:val="17"/>
              </w:rPr>
              <w:t>gancho:tasa0</w:t>
            </w:r>
            <w:r>
              <w:rPr>
                <w:sz w:val="17"/>
              </w:rPr>
              <w:t xml:space="preserve">, </w:t>
            </w:r>
            <w:r>
              <w:rPr>
                <w:rFonts w:ascii="Consolas" w:hAnsi="Consolas" w:eastAsia="Consolas"/>
                <w:color w:val="1F4E79"/>
                <w:sz w:val="17"/>
              </w:rPr>
              <w:t>gancho:referidos</w:t>
            </w:r>
            <w:r>
              <w:rPr>
                <w:sz w:val="17"/>
              </w:rPr>
              <w:t xml:space="preserve">, ... (mismos valores que la posición 7 del nombre); </w:t>
            </w:r>
            <w:r>
              <w:rPr>
                <w:rFonts w:ascii="Consolas" w:hAnsi="Consolas" w:eastAsia="Consolas"/>
                <w:color w:val="1F4E79"/>
                <w:sz w:val="17"/>
              </w:rPr>
              <w:t>estado:pausada_revision</w:t>
            </w:r>
            <w:r>
              <w:rPr>
                <w:sz w:val="17"/>
              </w:rPr>
              <w:t xml:space="preserve"> para lo que está en revisión del Plan_accion</w:t>
            </w:r>
          </w:p>
        </w:tc>
      </w:tr>
    </w:tbl>
    <w:p>
      <w:pPr>
        <w:spacing w:after="40"/>
      </w:pPr>
    </w:p>
    <w:p>
      <w:pPr>
        <w:spacing w:after="120"/>
      </w:pPr>
      <w:r>
        <w:t>Reglas: minúsculas, prefijo con dos puntos, sin espacios. Nadie crea tags nuevos fuera de la lista; la lista la cambia MarTech una vez al trimestre. Los tags sirven para filtrar en el admin de Braze y en los reportes del admin; la medición de Databricks sigue saliendo del nombre.</w:t>
      </w:r>
    </w:p>
    <w:p>
      <w:pPr>
        <w:pStyle w:val="Heading2"/>
      </w:pPr>
      <w:r>
        <w:t>A6. Grupos de suscripción</w:t>
      </w:r>
    </w:p>
    <w:p>
      <w:pPr>
        <w:spacing w:after="120"/>
      </w:pPr>
      <w:r>
        <w:t>Un grupo por producto y tema, para que la baja sea granular y para poder filtrar por paso:</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832"/>
            <w:shd w:val="clear" w:color="auto" w:fill="E8EEF4"/>
          </w:tcPr>
          <w:p>
            <w:pPr>
              <w:spacing w:after="0"/>
            </w:pPr>
            <w:r>
              <w:rPr>
                <w:b/>
              </w:rPr>
            </w:r>
            <w:r>
              <w:rPr>
                <w:b/>
                <w:sz w:val="17"/>
              </w:rPr>
              <w:t>Grupo</w:t>
            </w:r>
          </w:p>
        </w:tc>
        <w:tc>
          <w:tcPr>
            <w:tcW w:type="dxa" w:w="3135"/>
            <w:shd w:val="clear" w:color="auto" w:fill="E8EEF4"/>
          </w:tcPr>
          <w:p>
            <w:pPr>
              <w:spacing w:after="0"/>
            </w:pPr>
            <w:r>
              <w:rPr>
                <w:b/>
              </w:rPr>
            </w:r>
            <w:r>
              <w:rPr>
                <w:b/>
                <w:sz w:val="17"/>
              </w:rPr>
              <w:t>Tipo</w:t>
            </w:r>
          </w:p>
        </w:tc>
        <w:tc>
          <w:tcPr>
            <w:tcW w:type="dxa" w:w="2671"/>
            <w:shd w:val="clear" w:color="auto" w:fill="E8EEF4"/>
          </w:tcPr>
          <w:p>
            <w:pPr>
              <w:spacing w:after="0"/>
            </w:pPr>
            <w:r>
              <w:rPr>
                <w:b/>
              </w:rPr>
            </w:r>
            <w:r>
              <w:rPr>
                <w:b/>
                <w:sz w:val="17"/>
              </w:rPr>
              <w:t>Quién lo usa</w:t>
            </w:r>
          </w:p>
        </w:tc>
      </w:tr>
      <w:tr>
        <w:tc>
          <w:tcPr>
            <w:tcW w:type="dxa" w:w="3832"/>
          </w:tcPr>
          <w:p>
            <w:pPr>
              <w:spacing w:after="0"/>
            </w:pPr>
            <w:r/>
            <w:r>
              <w:rPr>
                <w:rFonts w:ascii="Consolas" w:hAnsi="Consolas" w:eastAsia="Consolas"/>
                <w:color w:val="1F4E79"/>
                <w:sz w:val="17"/>
              </w:rPr>
              <w:t>KCash Promociones</w:t>
            </w:r>
          </w:p>
        </w:tc>
        <w:tc>
          <w:tcPr>
            <w:tcW w:type="dxa" w:w="3135"/>
          </w:tcPr>
          <w:p>
            <w:pPr>
              <w:spacing w:after="0"/>
            </w:pPr>
            <w:r/>
            <w:r>
              <w:rPr>
                <w:sz w:val="17"/>
              </w:rPr>
              <w:t>Opcional</w:t>
            </w:r>
          </w:p>
        </w:tc>
        <w:tc>
          <w:tcPr>
            <w:tcW w:type="dxa" w:w="2671"/>
          </w:tcPr>
          <w:p>
            <w:pPr>
              <w:spacing w:after="0"/>
            </w:pPr>
            <w:r/>
            <w:r>
              <w:rPr>
                <w:sz w:val="17"/>
              </w:rPr>
              <w:t>Marketing, Lending</w:t>
            </w:r>
          </w:p>
        </w:tc>
      </w:tr>
      <w:tr>
        <w:tc>
          <w:tcPr>
            <w:tcW w:type="dxa" w:w="3832"/>
          </w:tcPr>
          <w:p>
            <w:pPr>
              <w:spacing w:after="0"/>
            </w:pPr>
            <w:r/>
            <w:r>
              <w:rPr>
                <w:rFonts w:ascii="Consolas" w:hAnsi="Consolas" w:eastAsia="Consolas"/>
                <w:color w:val="1F4E79"/>
                <w:sz w:val="17"/>
              </w:rPr>
              <w:t>KPay Promociones y comercios</w:t>
            </w:r>
          </w:p>
        </w:tc>
        <w:tc>
          <w:tcPr>
            <w:tcW w:type="dxa" w:w="3135"/>
          </w:tcPr>
          <w:p>
            <w:pPr>
              <w:spacing w:after="0"/>
            </w:pPr>
            <w:r/>
            <w:r>
              <w:rPr>
                <w:sz w:val="17"/>
              </w:rPr>
              <w:t>Opcional</w:t>
            </w:r>
          </w:p>
        </w:tc>
        <w:tc>
          <w:tcPr>
            <w:tcW w:type="dxa" w:w="2671"/>
          </w:tcPr>
          <w:p>
            <w:pPr>
              <w:spacing w:after="0"/>
            </w:pPr>
            <w:r/>
            <w:r>
              <w:rPr>
                <w:sz w:val="17"/>
              </w:rPr>
              <w:t>Sales, Marketing KPay</w:t>
            </w:r>
          </w:p>
        </w:tc>
      </w:tr>
      <w:tr>
        <w:tc>
          <w:tcPr>
            <w:tcW w:type="dxa" w:w="3832"/>
          </w:tcPr>
          <w:p>
            <w:pPr>
              <w:spacing w:after="0"/>
            </w:pPr>
            <w:r/>
            <w:r>
              <w:rPr>
                <w:rFonts w:ascii="Consolas" w:hAnsi="Consolas" w:eastAsia="Consolas"/>
                <w:color w:val="1F4E79"/>
                <w:sz w:val="17"/>
              </w:rPr>
              <w:t>Novedades Kueski y lanzamientos</w:t>
            </w:r>
          </w:p>
        </w:tc>
        <w:tc>
          <w:tcPr>
            <w:tcW w:type="dxa" w:w="3135"/>
          </w:tcPr>
          <w:p>
            <w:pPr>
              <w:spacing w:after="0"/>
            </w:pPr>
            <w:r/>
            <w:r>
              <w:rPr>
                <w:sz w:val="17"/>
              </w:rPr>
              <w:t>Opcional</w:t>
            </w:r>
          </w:p>
        </w:tc>
        <w:tc>
          <w:tcPr>
            <w:tcW w:type="dxa" w:w="2671"/>
          </w:tcPr>
          <w:p>
            <w:pPr>
              <w:spacing w:after="0"/>
            </w:pPr>
            <w:r/>
            <w:r>
              <w:rPr>
                <w:sz w:val="17"/>
              </w:rPr>
              <w:t>Producto, Marketing</w:t>
            </w:r>
          </w:p>
        </w:tc>
      </w:tr>
      <w:tr>
        <w:tc>
          <w:tcPr>
            <w:tcW w:type="dxa" w:w="3832"/>
          </w:tcPr>
          <w:p>
            <w:pPr>
              <w:spacing w:after="0"/>
            </w:pPr>
            <w:r/>
            <w:r>
              <w:rPr>
                <w:rFonts w:ascii="Consolas" w:hAnsi="Consolas" w:eastAsia="Consolas"/>
                <w:color w:val="1F4E79"/>
                <w:sz w:val="17"/>
              </w:rPr>
              <w:t>Programa de referidos</w:t>
            </w:r>
          </w:p>
        </w:tc>
        <w:tc>
          <w:tcPr>
            <w:tcW w:type="dxa" w:w="3135"/>
          </w:tcPr>
          <w:p>
            <w:pPr>
              <w:spacing w:after="0"/>
            </w:pPr>
            <w:r/>
            <w:r>
              <w:rPr>
                <w:sz w:val="17"/>
              </w:rPr>
              <w:t>Opcional</w:t>
            </w:r>
          </w:p>
        </w:tc>
        <w:tc>
          <w:tcPr>
            <w:tcW w:type="dxa" w:w="2671"/>
          </w:tcPr>
          <w:p>
            <w:pPr>
              <w:spacing w:after="0"/>
            </w:pPr>
            <w:r/>
            <w:r>
              <w:rPr>
                <w:sz w:val="17"/>
              </w:rPr>
              <w:t>Marketing</w:t>
            </w:r>
          </w:p>
        </w:tc>
      </w:tr>
      <w:tr>
        <w:tc>
          <w:tcPr>
            <w:tcW w:type="dxa" w:w="3832"/>
          </w:tcPr>
          <w:p>
            <w:pPr>
              <w:spacing w:after="0"/>
            </w:pPr>
            <w:r/>
            <w:r>
              <w:rPr>
                <w:rFonts w:ascii="Consolas" w:hAnsi="Consolas" w:eastAsia="Consolas"/>
                <w:color w:val="1F4E79"/>
                <w:sz w:val="17"/>
              </w:rPr>
              <w:t>Encuestas</w:t>
            </w:r>
          </w:p>
        </w:tc>
        <w:tc>
          <w:tcPr>
            <w:tcW w:type="dxa" w:w="3135"/>
          </w:tcPr>
          <w:p>
            <w:pPr>
              <w:spacing w:after="0"/>
            </w:pPr>
            <w:r/>
            <w:r>
              <w:rPr>
                <w:sz w:val="17"/>
              </w:rPr>
              <w:t>Opcional</w:t>
            </w:r>
          </w:p>
        </w:tc>
        <w:tc>
          <w:tcPr>
            <w:tcW w:type="dxa" w:w="2671"/>
          </w:tcPr>
          <w:p>
            <w:pPr>
              <w:spacing w:after="0"/>
            </w:pPr>
            <w:r/>
            <w:r>
              <w:rPr>
                <w:sz w:val="17"/>
              </w:rPr>
              <w:t>CX, Research</w:t>
            </w:r>
          </w:p>
        </w:tc>
      </w:tr>
      <w:tr>
        <w:tc>
          <w:tcPr>
            <w:tcW w:type="dxa" w:w="3832"/>
          </w:tcPr>
          <w:p>
            <w:pPr>
              <w:spacing w:after="0"/>
            </w:pPr>
            <w:r/>
            <w:r>
              <w:rPr>
                <w:rFonts w:ascii="Consolas" w:hAnsi="Consolas" w:eastAsia="Consolas"/>
                <w:color w:val="1F4E79"/>
                <w:sz w:val="17"/>
              </w:rPr>
              <w:t>Avisos de cuenta y pagos</w:t>
            </w:r>
          </w:p>
        </w:tc>
        <w:tc>
          <w:tcPr>
            <w:tcW w:type="dxa" w:w="3135"/>
          </w:tcPr>
          <w:p>
            <w:pPr>
              <w:spacing w:after="0"/>
            </w:pPr>
            <w:r/>
            <w:r>
              <w:rPr>
                <w:sz w:val="17"/>
              </w:rPr>
              <w:t>No opcional (transaccional)</w:t>
            </w:r>
          </w:p>
        </w:tc>
        <w:tc>
          <w:tcPr>
            <w:tcW w:type="dxa" w:w="2671"/>
          </w:tcPr>
          <w:p>
            <w:pPr>
              <w:spacing w:after="0"/>
            </w:pPr>
            <w:r/>
            <w:r>
              <w:rPr>
                <w:sz w:val="17"/>
              </w:rPr>
              <w:t>Producto, Transaccional</w:t>
            </w:r>
          </w:p>
        </w:tc>
      </w:tr>
      <w:tr>
        <w:tc>
          <w:tcPr>
            <w:tcW w:type="dxa" w:w="3832"/>
          </w:tcPr>
          <w:p>
            <w:pPr>
              <w:spacing w:after="0"/>
            </w:pPr>
            <w:r/>
            <w:r>
              <w:rPr>
                <w:rFonts w:ascii="Consolas" w:hAnsi="Consolas" w:eastAsia="Consolas"/>
                <w:color w:val="1F4E79"/>
                <w:sz w:val="17"/>
              </w:rPr>
              <w:t>Cobranza</w:t>
            </w:r>
          </w:p>
        </w:tc>
        <w:tc>
          <w:tcPr>
            <w:tcW w:type="dxa" w:w="3135"/>
          </w:tcPr>
          <w:p>
            <w:pPr>
              <w:spacing w:after="0"/>
            </w:pPr>
            <w:r/>
            <w:r>
              <w:rPr>
                <w:sz w:val="17"/>
              </w:rPr>
              <w:t>No opcional</w:t>
            </w:r>
          </w:p>
        </w:tc>
        <w:tc>
          <w:tcPr>
            <w:tcW w:type="dxa" w:w="2671"/>
          </w:tcPr>
          <w:p>
            <w:pPr>
              <w:spacing w:after="0"/>
            </w:pPr>
            <w:r/>
            <w:r>
              <w:rPr>
                <w:sz w:val="17"/>
              </w:rPr>
              <w:t>Collections</w:t>
            </w:r>
          </w:p>
        </w:tc>
      </w:tr>
    </w:tbl>
    <w:p>
      <w:pPr>
        <w:spacing w:after="40"/>
      </w:pPr>
    </w:p>
    <w:p>
      <w:pPr>
        <w:spacing w:after="120"/>
      </w:pPr>
      <w:r>
        <w:t>Reglas: todo paso de email promocional filtra por "suscrito u opt-in" en su grupo, en el paso y no solo a la entrada del Canvas. El pie de página promocional ofrece la baja del grupo y, aparte, la baja global. Transaccional y cobranza no salen por baja de marketing (es correcto: 94 % de los emails a dados de baja son de estos dos tipos y son legítimos).</w:t>
      </w:r>
    </w:p>
    <w:p>
      <w:pPr>
        <w:pStyle w:val="Heading2"/>
      </w:pPr>
      <w:r>
        <w:t>A7. Atributos y eventos personalizados: diccionario</w:t>
      </w:r>
    </w:p>
    <w:p>
      <w:pPr>
        <w:spacing w:after="120"/>
      </w:pPr>
      <w:r>
        <w:t xml:space="preserve">Nombres en minúsculas con guion bajo. Prefijo del dueño: </w:t>
      </w:r>
      <w:r>
        <w:rPr>
          <w:rFonts w:ascii="Consolas" w:hAnsi="Consolas" w:eastAsia="Consolas"/>
          <w:color w:val="1F4E79"/>
        </w:rPr>
        <w:t>k_</w:t>
      </w:r>
      <w:r>
        <w:t xml:space="preserve"> para los que vienen del golden dataset o del backend, </w:t>
      </w:r>
      <w:r>
        <w:rPr>
          <w:rFonts w:ascii="Consolas" w:hAnsi="Consolas" w:eastAsia="Consolas"/>
          <w:color w:val="1F4E79"/>
        </w:rPr>
        <w:t>brz_</w:t>
      </w:r>
      <w:r>
        <w:t xml:space="preserve"> para los que calcula Braze.</w:t>
      </w:r>
    </w:p>
    <w:p>
      <w:pPr>
        <w:spacing w:after="120"/>
      </w:pPr>
      <w:r>
        <w:t>Atributos que este análisis necesita y que hoy no existen o no se usan:</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861"/>
            <w:shd w:val="clear" w:color="auto" w:fill="E8EEF4"/>
          </w:tcPr>
          <w:p>
            <w:pPr>
              <w:spacing w:after="0"/>
            </w:pPr>
            <w:r>
              <w:rPr>
                <w:b/>
              </w:rPr>
            </w:r>
            <w:r>
              <w:rPr>
                <w:b/>
                <w:sz w:val="17"/>
              </w:rPr>
              <w:t>Atributo</w:t>
            </w:r>
          </w:p>
        </w:tc>
        <w:tc>
          <w:tcPr>
            <w:tcW w:type="dxa" w:w="3789"/>
            <w:shd w:val="clear" w:color="auto" w:fill="E8EEF4"/>
          </w:tcPr>
          <w:p>
            <w:pPr>
              <w:spacing w:after="0"/>
            </w:pPr>
            <w:r>
              <w:rPr>
                <w:b/>
              </w:rPr>
            </w:r>
            <w:r>
              <w:rPr>
                <w:b/>
                <w:sz w:val="17"/>
              </w:rPr>
              <w:t>Fuente</w:t>
            </w:r>
          </w:p>
        </w:tc>
        <w:tc>
          <w:tcPr>
            <w:tcW w:type="dxa" w:w="3988"/>
            <w:shd w:val="clear" w:color="auto" w:fill="E8EEF4"/>
          </w:tcPr>
          <w:p>
            <w:pPr>
              <w:spacing w:after="0"/>
            </w:pPr>
            <w:r>
              <w:rPr>
                <w:b/>
              </w:rPr>
            </w:r>
            <w:r>
              <w:rPr>
                <w:b/>
                <w:sz w:val="17"/>
              </w:rPr>
              <w:t>Para qué</w:t>
            </w:r>
          </w:p>
        </w:tc>
      </w:tr>
      <w:tr>
        <w:tc>
          <w:tcPr>
            <w:tcW w:type="dxa" w:w="1861"/>
          </w:tcPr>
          <w:p>
            <w:pPr>
              <w:spacing w:after="0"/>
            </w:pPr>
            <w:r/>
            <w:r>
              <w:rPr>
                <w:rFonts w:ascii="Consolas" w:hAnsi="Consolas" w:eastAsia="Consolas"/>
                <w:color w:val="1F4E79"/>
                <w:sz w:val="17"/>
              </w:rPr>
              <w:t>brz_canal_preferido_90d</w:t>
            </w:r>
          </w:p>
        </w:tc>
        <w:tc>
          <w:tcPr>
            <w:tcW w:type="dxa" w:w="3789"/>
          </w:tcPr>
          <w:p>
            <w:pPr>
              <w:spacing w:after="0"/>
            </w:pPr>
            <w:r/>
            <w:r>
              <w:rPr>
                <w:sz w:val="17"/>
              </w:rPr>
              <w:t>Braze (último canal con clic, toque o lectura en 90 días)</w:t>
            </w:r>
          </w:p>
        </w:tc>
        <w:tc>
          <w:tcPr>
            <w:tcW w:type="dxa" w:w="3988"/>
          </w:tcPr>
          <w:p>
            <w:pPr>
              <w:spacing w:after="0"/>
            </w:pPr>
            <w:r/>
            <w:r>
              <w:rPr>
                <w:sz w:val="17"/>
              </w:rPr>
              <w:t>Regla B3: mandar por el canal que sí responde. 59 % de los mensajes del periodo fueron a un canal al que el usuario nunca respondió.</w:t>
            </w:r>
          </w:p>
        </w:tc>
      </w:tr>
      <w:tr>
        <w:tc>
          <w:tcPr>
            <w:tcW w:type="dxa" w:w="1861"/>
          </w:tcPr>
          <w:p>
            <w:pPr>
              <w:spacing w:after="0"/>
            </w:pPr>
            <w:r/>
            <w:r>
              <w:rPr>
                <w:rFonts w:ascii="Consolas" w:hAnsi="Consolas" w:eastAsia="Consolas"/>
                <w:color w:val="1F4E79"/>
                <w:sz w:val="17"/>
              </w:rPr>
              <w:t>brz_ultima_respuesta_fecha</w:t>
            </w:r>
          </w:p>
        </w:tc>
        <w:tc>
          <w:tcPr>
            <w:tcW w:type="dxa" w:w="3789"/>
          </w:tcPr>
          <w:p>
            <w:pPr>
              <w:spacing w:after="0"/>
            </w:pPr>
            <w:r/>
            <w:r>
              <w:rPr>
                <w:sz w:val="17"/>
              </w:rPr>
              <w:t>Braze</w:t>
            </w:r>
          </w:p>
        </w:tc>
        <w:tc>
          <w:tcPr>
            <w:tcW w:type="dxa" w:w="3988"/>
          </w:tcPr>
          <w:p>
            <w:pPr>
              <w:spacing w:after="0"/>
            </w:pPr>
            <w:r/>
            <w:r>
              <w:rPr>
                <w:sz w:val="17"/>
              </w:rPr>
              <w:t>Salida de lo promocional a los 90 días sin respuesta (B4)</w:t>
            </w:r>
          </w:p>
        </w:tc>
      </w:tr>
      <w:tr>
        <w:tc>
          <w:tcPr>
            <w:tcW w:type="dxa" w:w="1861"/>
          </w:tcPr>
          <w:p>
            <w:pPr>
              <w:spacing w:after="0"/>
            </w:pPr>
            <w:r/>
            <w:r>
              <w:rPr>
                <w:rFonts w:ascii="Consolas" w:hAnsi="Consolas" w:eastAsia="Consolas"/>
                <w:color w:val="1F4E79"/>
                <w:sz w:val="17"/>
              </w:rPr>
              <w:t>brz_wa_fallos_consecutivos</w:t>
            </w:r>
          </w:p>
        </w:tc>
        <w:tc>
          <w:tcPr>
            <w:tcW w:type="dxa" w:w="3789"/>
          </w:tcPr>
          <w:p>
            <w:pPr>
              <w:spacing w:after="0"/>
            </w:pPr>
            <w:r/>
            <w:r>
              <w:rPr>
                <w:sz w:val="17"/>
              </w:rPr>
              <w:t>Braze (webhook de entrega)</w:t>
            </w:r>
          </w:p>
        </w:tc>
        <w:tc>
          <w:tcPr>
            <w:tcW w:type="dxa" w:w="3988"/>
          </w:tcPr>
          <w:p>
            <w:pPr>
              <w:spacing w:after="0"/>
            </w:pPr>
            <w:r/>
            <w:r>
              <w:rPr>
                <w:rFonts w:ascii="Consolas" w:hAnsi="Consolas" w:eastAsia="Consolas"/>
                <w:color w:val="1F4E79"/>
                <w:sz w:val="17"/>
              </w:rPr>
              <w:t>EXC-WA-SinEntrega3</w:t>
            </w:r>
            <w:r>
              <w:rPr>
                <w:sz w:val="17"/>
              </w:rPr>
              <w:t>: 25.8 % de los WhatsApp no se entregan (14.2 M MXN en 9 meses)</w:t>
            </w:r>
          </w:p>
        </w:tc>
      </w:tr>
      <w:tr>
        <w:tc>
          <w:tcPr>
            <w:tcW w:type="dxa" w:w="1861"/>
          </w:tcPr>
          <w:p>
            <w:pPr>
              <w:spacing w:after="0"/>
            </w:pPr>
            <w:r/>
            <w:r>
              <w:rPr>
                <w:rFonts w:ascii="Consolas" w:hAnsi="Consolas" w:eastAsia="Consolas"/>
                <w:color w:val="1F4E79"/>
                <w:sz w:val="17"/>
              </w:rPr>
              <w:t>k_etapa_golden</w:t>
            </w:r>
          </w:p>
        </w:tc>
        <w:tc>
          <w:tcPr>
            <w:tcW w:type="dxa" w:w="3789"/>
          </w:tcPr>
          <w:p>
            <w:pPr>
              <w:spacing w:after="0"/>
            </w:pPr>
            <w:r/>
            <w:r>
              <w:rPr>
                <w:sz w:val="17"/>
              </w:rPr>
              <w:t>golden dataset (</w:t>
            </w:r>
            <w:r>
              <w:rPr>
                <w:rFonts w:ascii="Consolas" w:hAnsi="Consolas" w:eastAsia="Consolas"/>
                <w:color w:val="1F4E79"/>
                <w:sz w:val="17"/>
              </w:rPr>
              <w:t>dim_braze_filters.step</w:t>
            </w:r>
            <w:r>
              <w:rPr>
                <w:sz w:val="17"/>
              </w:rPr>
              <w:t>)</w:t>
            </w:r>
          </w:p>
        </w:tc>
        <w:tc>
          <w:tcPr>
            <w:tcW w:type="dxa" w:w="3988"/>
          </w:tcPr>
          <w:p>
            <w:pPr>
              <w:spacing w:after="0"/>
            </w:pPr>
            <w:r/>
            <w:r>
              <w:rPr>
                <w:sz w:val="17"/>
              </w:rPr>
              <w:t>Exclusiones Blacklist, REUS/ARCO, CC Freeze (B1)</w:t>
            </w:r>
          </w:p>
        </w:tc>
      </w:tr>
      <w:tr>
        <w:tc>
          <w:tcPr>
            <w:tcW w:type="dxa" w:w="1861"/>
          </w:tcPr>
          <w:p>
            <w:pPr>
              <w:spacing w:after="0"/>
            </w:pPr>
            <w:r/>
            <w:r>
              <w:rPr>
                <w:rFonts w:ascii="Consolas" w:hAnsi="Consolas" w:eastAsia="Consolas"/>
                <w:color w:val="1F4E79"/>
                <w:sz w:val="17"/>
              </w:rPr>
              <w:t>k_producto_activo</w:t>
            </w:r>
          </w:p>
        </w:tc>
        <w:tc>
          <w:tcPr>
            <w:tcW w:type="dxa" w:w="3789"/>
          </w:tcPr>
          <w:p>
            <w:pPr>
              <w:spacing w:after="0"/>
            </w:pPr>
            <w:r/>
            <w:r>
              <w:rPr>
                <w:sz w:val="17"/>
              </w:rPr>
              <w:t>golden dataset</w:t>
            </w:r>
          </w:p>
        </w:tc>
        <w:tc>
          <w:tcPr>
            <w:tcW w:type="dxa" w:w="3988"/>
          </w:tcPr>
          <w:p>
            <w:pPr>
              <w:spacing w:after="0"/>
            </w:pPr>
            <w:r/>
            <w:r>
              <w:rPr>
                <w:sz w:val="17"/>
              </w:rPr>
              <w:t>No ofrecer KPay a quien tiene la tarjeta congelada; no ofrecer Tasa 0 a quien ya tiene crédito vivo</w:t>
            </w:r>
          </w:p>
        </w:tc>
      </w:tr>
      <w:tr>
        <w:tc>
          <w:tcPr>
            <w:tcW w:type="dxa" w:w="1861"/>
          </w:tcPr>
          <w:p>
            <w:pPr>
              <w:spacing w:after="0"/>
            </w:pPr>
            <w:r/>
            <w:r>
              <w:rPr>
                <w:rFonts w:ascii="Consolas" w:hAnsi="Consolas" w:eastAsia="Consolas"/>
                <w:color w:val="1F4E79"/>
                <w:sz w:val="17"/>
              </w:rPr>
              <w:t>k_dias_sin_uso</w:t>
            </w:r>
          </w:p>
        </w:tc>
        <w:tc>
          <w:tcPr>
            <w:tcW w:type="dxa" w:w="3789"/>
          </w:tcPr>
          <w:p>
            <w:pPr>
              <w:spacing w:after="0"/>
            </w:pPr>
            <w:r/>
            <w:r>
              <w:rPr>
                <w:sz w:val="17"/>
              </w:rPr>
              <w:t>golden dataset</w:t>
            </w:r>
          </w:p>
        </w:tc>
        <w:tc>
          <w:tcPr>
            <w:tcW w:type="dxa" w:w="3988"/>
          </w:tcPr>
          <w:p>
            <w:pPr>
              <w:spacing w:after="0"/>
            </w:pPr>
            <w:r/>
            <w:r>
              <w:rPr>
                <w:sz w:val="17"/>
              </w:rPr>
              <w:t>Segmentos fríos de A4</w:t>
            </w:r>
          </w:p>
        </w:tc>
      </w:tr>
      <w:tr>
        <w:tc>
          <w:tcPr>
            <w:tcW w:type="dxa" w:w="1861"/>
          </w:tcPr>
          <w:p>
            <w:pPr>
              <w:spacing w:after="0"/>
            </w:pPr>
            <w:r/>
            <w:r>
              <w:rPr>
                <w:rFonts w:ascii="Consolas" w:hAnsi="Consolas" w:eastAsia="Consolas"/>
                <w:color w:val="1F4E79"/>
                <w:sz w:val="17"/>
              </w:rPr>
              <w:t>k_fecha_alta</w:t>
            </w:r>
          </w:p>
        </w:tc>
        <w:tc>
          <w:tcPr>
            <w:tcW w:type="dxa" w:w="3789"/>
          </w:tcPr>
          <w:p>
            <w:pPr>
              <w:spacing w:after="0"/>
            </w:pPr>
            <w:r/>
            <w:r>
              <w:rPr>
                <w:sz w:val="17"/>
              </w:rPr>
              <w:t>golden dataset</w:t>
            </w:r>
          </w:p>
        </w:tc>
        <w:tc>
          <w:tcPr>
            <w:tcW w:type="dxa" w:w="3988"/>
          </w:tcPr>
          <w:p>
            <w:pPr>
              <w:spacing w:after="0"/>
            </w:pPr>
            <w:r/>
            <w:r>
              <w:rPr>
                <w:sz w:val="17"/>
              </w:rPr>
              <w:t>Antigüedad (E12) y secuencia única de bienvenida (C8)</w:t>
            </w:r>
          </w:p>
        </w:tc>
      </w:tr>
    </w:tbl>
    <w:p>
      <w:pPr>
        <w:spacing w:after="40"/>
      </w:pPr>
    </w:p>
    <w:p>
      <w:pPr>
        <w:spacing w:after="120"/>
      </w:pPr>
      <w:r>
        <w:t>Eventos de conversión estándar (A9) y eventos de embudo (</w:t>
      </w:r>
      <w:r>
        <w:rPr>
          <w:rFonts w:ascii="Consolas" w:hAnsi="Consolas" w:eastAsia="Consolas"/>
          <w:color w:val="1F4E79"/>
        </w:rPr>
        <w:t>registro_completado</w:t>
      </w:r>
      <w:r>
        <w:t xml:space="preserve">, </w:t>
      </w:r>
      <w:r>
        <w:rPr>
          <w:rFonts w:ascii="Consolas" w:hAnsi="Consolas" w:eastAsia="Consolas"/>
          <w:color w:val="1F4E79"/>
        </w:rPr>
        <w:t>veriff_completado</w:t>
      </w:r>
      <w:r>
        <w:t xml:space="preserve">, </w:t>
      </w:r>
      <w:r>
        <w:rPr>
          <w:rFonts w:ascii="Consolas" w:hAnsi="Consolas" w:eastAsia="Consolas"/>
          <w:color w:val="1F4E79"/>
        </w:rPr>
        <w:t>solicitud_enviada</w:t>
      </w:r>
      <w:r>
        <w:t xml:space="preserve">, </w:t>
      </w:r>
      <w:r>
        <w:rPr>
          <w:rFonts w:ascii="Consolas" w:hAnsi="Consolas" w:eastAsia="Consolas"/>
          <w:color w:val="1F4E79"/>
        </w:rPr>
        <w:t>credito_dispuesto</w:t>
      </w:r>
      <w:r>
        <w:t xml:space="preserve">, </w:t>
      </w:r>
      <w:r>
        <w:rPr>
          <w:rFonts w:ascii="Consolas" w:hAnsi="Consolas" w:eastAsia="Consolas"/>
          <w:color w:val="1F4E79"/>
        </w:rPr>
        <w:t>compra_kpay</w:t>
      </w:r>
      <w:r>
        <w:t>) con el mismo nombre en todas las piezas.</w:t>
      </w:r>
    </w:p>
    <w:p>
      <w:pPr>
        <w:pStyle w:val="Heading2"/>
      </w:pPr>
      <w:r>
        <w:t>A8. Plantillas y bloques de contenido</w:t>
      </w:r>
    </w:p>
    <w:p>
      <w:pPr>
        <w:spacing w:after="120"/>
      </w:pPr>
      <w:r>
        <w:rPr>
          <w:rFonts w:ascii="Consolas" w:hAnsi="Consolas" w:eastAsia="Consolas"/>
          <w:color w:val="1F4E79"/>
        </w:rPr>
        <w:t>TPL-Canal-Uso-vN</w:t>
      </w:r>
      <w:r>
        <w:t xml:space="preserve">: </w:t>
      </w:r>
      <w:r>
        <w:rPr>
          <w:rFonts w:ascii="Consolas" w:hAnsi="Consolas" w:eastAsia="Consolas"/>
          <w:color w:val="1F4E79"/>
        </w:rPr>
        <w:t>TPL-Email-Promo-v3</w:t>
      </w:r>
      <w:r>
        <w:t xml:space="preserve">, </w:t>
      </w:r>
      <w:r>
        <w:rPr>
          <w:rFonts w:ascii="Consolas" w:hAnsi="Consolas" w:eastAsia="Consolas"/>
          <w:color w:val="1F4E79"/>
        </w:rPr>
        <w:t>TPL-Email-Transaccional-v2</w:t>
      </w:r>
      <w:r>
        <w:t xml:space="preserve">, </w:t>
      </w:r>
      <w:r>
        <w:rPr>
          <w:rFonts w:ascii="Consolas" w:hAnsi="Consolas" w:eastAsia="Consolas"/>
          <w:color w:val="1F4E79"/>
        </w:rPr>
        <w:t>TPL-Push-Oferta-v1</w:t>
      </w:r>
      <w:r>
        <w:t xml:space="preserve">, </w:t>
      </w:r>
      <w:r>
        <w:rPr>
          <w:rFonts w:ascii="Consolas" w:hAnsi="Consolas" w:eastAsia="Consolas"/>
          <w:color w:val="1F4E79"/>
        </w:rPr>
        <w:t>TPL-WA-Recordatorio-v1</w:t>
      </w:r>
      <w:r>
        <w:t>. Bloques de contenido compartidos para encabezado, pie legal y pie de baja (</w:t>
      </w:r>
      <w:r>
        <w:rPr>
          <w:rFonts w:ascii="Consolas" w:hAnsi="Consolas" w:eastAsia="Consolas"/>
          <w:color w:val="1F4E79"/>
        </w:rPr>
        <w:t>BLK-Email-PieLegal-v2</w:t>
      </w:r>
      <w:r>
        <w:t>). Una versión nueva de plantilla archiva la anterior; nadie edita el HTML del pie dentro de una campaña.</w:t>
      </w:r>
    </w:p>
    <w:p>
      <w:pPr>
        <w:pStyle w:val="Heading2"/>
      </w:pPr>
      <w:r>
        <w:t>A9. Evento de conversión estándar y ventana</w:t>
      </w:r>
    </w:p>
    <w:p>
      <w:pPr>
        <w:spacing w:after="120"/>
      </w:pPr>
      <w:r>
        <w:t>Cada pieza declara en Braze un evento de conversión primario según su objetivo, con ventana de 7 días:</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142"/>
            <w:shd w:val="clear" w:color="auto" w:fill="E8EEF4"/>
          </w:tcPr>
          <w:p>
            <w:pPr>
              <w:spacing w:after="0"/>
            </w:pPr>
            <w:r>
              <w:rPr>
                <w:b/>
              </w:rPr>
            </w:r>
            <w:r>
              <w:rPr>
                <w:b/>
                <w:sz w:val="17"/>
              </w:rPr>
              <w:t>Objetivo</w:t>
            </w:r>
          </w:p>
        </w:tc>
        <w:tc>
          <w:tcPr>
            <w:tcW w:type="dxa" w:w="6663"/>
            <w:shd w:val="clear" w:color="auto" w:fill="E8EEF4"/>
          </w:tcPr>
          <w:p>
            <w:pPr>
              <w:spacing w:after="0"/>
            </w:pPr>
            <w:r>
              <w:rPr>
                <w:b/>
              </w:rPr>
            </w:r>
            <w:r>
              <w:rPr>
                <w:b/>
                <w:sz w:val="17"/>
              </w:rPr>
              <w:t>Evento primario</w:t>
            </w:r>
          </w:p>
        </w:tc>
        <w:tc>
          <w:tcPr>
            <w:tcW w:type="dxa" w:w="833"/>
            <w:shd w:val="clear" w:color="auto" w:fill="E8EEF4"/>
          </w:tcPr>
          <w:p>
            <w:pPr>
              <w:spacing w:after="0"/>
            </w:pPr>
            <w:r>
              <w:rPr>
                <w:b/>
              </w:rPr>
            </w:r>
            <w:r>
              <w:rPr>
                <w:b/>
                <w:sz w:val="17"/>
              </w:rPr>
              <w:t>Ventana</w:t>
            </w:r>
          </w:p>
        </w:tc>
      </w:tr>
      <w:tr>
        <w:tc>
          <w:tcPr>
            <w:tcW w:type="dxa" w:w="2142"/>
          </w:tcPr>
          <w:p>
            <w:pPr>
              <w:spacing w:after="0"/>
            </w:pPr>
            <w:r/>
            <w:r>
              <w:rPr>
                <w:sz w:val="17"/>
              </w:rPr>
              <w:t>Lending KCash</w:t>
            </w:r>
          </w:p>
        </w:tc>
        <w:tc>
          <w:tcPr>
            <w:tcW w:type="dxa" w:w="6663"/>
          </w:tcPr>
          <w:p>
            <w:pPr>
              <w:spacing w:after="0"/>
            </w:pPr>
            <w:r/>
            <w:r>
              <w:rPr>
                <w:rFonts w:ascii="Consolas" w:hAnsi="Consolas" w:eastAsia="Consolas"/>
                <w:color w:val="1F4E79"/>
                <w:sz w:val="17"/>
              </w:rPr>
              <w:t>solicitud_enviada</w:t>
            </w:r>
            <w:r>
              <w:rPr>
                <w:sz w:val="17"/>
              </w:rPr>
              <w:t xml:space="preserve"> (equivale a </w:t>
            </w:r>
            <w:r>
              <w:rPr>
                <w:rFonts w:ascii="Consolas" w:hAnsi="Consolas" w:eastAsia="Consolas"/>
                <w:color w:val="1F4E79"/>
                <w:sz w:val="17"/>
              </w:rPr>
              <w:t>applied_for_loan</w:t>
            </w:r>
            <w:r>
              <w:rPr>
                <w:sz w:val="17"/>
              </w:rPr>
              <w:t>)</w:t>
            </w:r>
          </w:p>
        </w:tc>
        <w:tc>
          <w:tcPr>
            <w:tcW w:type="dxa" w:w="833"/>
          </w:tcPr>
          <w:p>
            <w:pPr>
              <w:spacing w:after="0"/>
            </w:pPr>
            <w:r/>
            <w:r>
              <w:rPr>
                <w:sz w:val="17"/>
              </w:rPr>
              <w:t>7 días</w:t>
            </w:r>
          </w:p>
        </w:tc>
      </w:tr>
      <w:tr>
        <w:tc>
          <w:tcPr>
            <w:tcW w:type="dxa" w:w="2142"/>
          </w:tcPr>
          <w:p>
            <w:pPr>
              <w:spacing w:after="0"/>
            </w:pPr>
            <w:r/>
            <w:r>
              <w:rPr>
                <w:sz w:val="17"/>
              </w:rPr>
              <w:t>Disposición</w:t>
            </w:r>
          </w:p>
        </w:tc>
        <w:tc>
          <w:tcPr>
            <w:tcW w:type="dxa" w:w="6663"/>
          </w:tcPr>
          <w:p>
            <w:pPr>
              <w:spacing w:after="0"/>
            </w:pPr>
            <w:r/>
            <w:r>
              <w:rPr>
                <w:rFonts w:ascii="Consolas" w:hAnsi="Consolas" w:eastAsia="Consolas"/>
                <w:color w:val="1F4E79"/>
                <w:sz w:val="17"/>
              </w:rPr>
              <w:t>credito_dispuesto</w:t>
            </w:r>
          </w:p>
        </w:tc>
        <w:tc>
          <w:tcPr>
            <w:tcW w:type="dxa" w:w="833"/>
          </w:tcPr>
          <w:p>
            <w:pPr>
              <w:spacing w:after="0"/>
            </w:pPr>
            <w:r/>
            <w:r>
              <w:rPr>
                <w:sz w:val="17"/>
              </w:rPr>
              <w:t>7 días</w:t>
            </w:r>
          </w:p>
        </w:tc>
      </w:tr>
      <w:tr>
        <w:tc>
          <w:tcPr>
            <w:tcW w:type="dxa" w:w="2142"/>
          </w:tcPr>
          <w:p>
            <w:pPr>
              <w:spacing w:after="0"/>
            </w:pPr>
            <w:r/>
            <w:r>
              <w:rPr>
                <w:sz w:val="17"/>
              </w:rPr>
              <w:t>KPay compra</w:t>
            </w:r>
          </w:p>
        </w:tc>
        <w:tc>
          <w:tcPr>
            <w:tcW w:type="dxa" w:w="6663"/>
          </w:tcPr>
          <w:p>
            <w:pPr>
              <w:spacing w:after="0"/>
            </w:pPr>
            <w:r/>
            <w:r>
              <w:rPr>
                <w:rFonts w:ascii="Consolas" w:hAnsi="Consolas" w:eastAsia="Consolas"/>
                <w:color w:val="1F4E79"/>
                <w:sz w:val="17"/>
              </w:rPr>
              <w:t>compra_kpay</w:t>
            </w:r>
          </w:p>
        </w:tc>
        <w:tc>
          <w:tcPr>
            <w:tcW w:type="dxa" w:w="833"/>
          </w:tcPr>
          <w:p>
            <w:pPr>
              <w:spacing w:after="0"/>
            </w:pPr>
            <w:r/>
            <w:r>
              <w:rPr>
                <w:sz w:val="17"/>
              </w:rPr>
              <w:t>7 días</w:t>
            </w:r>
          </w:p>
        </w:tc>
      </w:tr>
      <w:tr>
        <w:tc>
          <w:tcPr>
            <w:tcW w:type="dxa" w:w="2142"/>
          </w:tcPr>
          <w:p>
            <w:pPr>
              <w:spacing w:after="0"/>
            </w:pPr>
            <w:r/>
            <w:r>
              <w:rPr>
                <w:sz w:val="17"/>
              </w:rPr>
              <w:t>Embudo de registro</w:t>
            </w:r>
          </w:p>
        </w:tc>
        <w:tc>
          <w:tcPr>
            <w:tcW w:type="dxa" w:w="6663"/>
          </w:tcPr>
          <w:p>
            <w:pPr>
              <w:spacing w:after="0"/>
            </w:pPr>
            <w:r/>
            <w:r>
              <w:rPr>
                <w:sz w:val="17"/>
              </w:rPr>
              <w:t>el siguiente paso del embudo (</w:t>
            </w:r>
            <w:r>
              <w:rPr>
                <w:rFonts w:ascii="Consolas" w:hAnsi="Consolas" w:eastAsia="Consolas"/>
                <w:color w:val="1F4E79"/>
                <w:sz w:val="17"/>
              </w:rPr>
              <w:t>veriff_completado</w:t>
            </w:r>
            <w:r>
              <w:rPr>
                <w:sz w:val="17"/>
              </w:rPr>
              <w:t>, etc.)</w:t>
            </w:r>
          </w:p>
        </w:tc>
        <w:tc>
          <w:tcPr>
            <w:tcW w:type="dxa" w:w="833"/>
          </w:tcPr>
          <w:p>
            <w:pPr>
              <w:spacing w:after="0"/>
            </w:pPr>
            <w:r/>
            <w:r>
              <w:rPr>
                <w:sz w:val="17"/>
              </w:rPr>
              <w:t>3 días</w:t>
            </w:r>
          </w:p>
        </w:tc>
      </w:tr>
      <w:tr>
        <w:tc>
          <w:tcPr>
            <w:tcW w:type="dxa" w:w="2142"/>
          </w:tcPr>
          <w:p>
            <w:pPr>
              <w:spacing w:after="0"/>
            </w:pPr>
            <w:r/>
            <w:r>
              <w:rPr>
                <w:sz w:val="17"/>
              </w:rPr>
              <w:t>Cobranza</w:t>
            </w:r>
          </w:p>
        </w:tc>
        <w:tc>
          <w:tcPr>
            <w:tcW w:type="dxa" w:w="6663"/>
          </w:tcPr>
          <w:p>
            <w:pPr>
              <w:spacing w:after="0"/>
            </w:pPr>
            <w:r/>
            <w:r>
              <w:rPr>
                <w:rFonts w:ascii="Consolas" w:hAnsi="Consolas" w:eastAsia="Consolas"/>
                <w:color w:val="1F4E79"/>
                <w:sz w:val="17"/>
              </w:rPr>
              <w:t>pago_recibido</w:t>
            </w:r>
          </w:p>
        </w:tc>
        <w:tc>
          <w:tcPr>
            <w:tcW w:type="dxa" w:w="833"/>
          </w:tcPr>
          <w:p>
            <w:pPr>
              <w:spacing w:after="0"/>
            </w:pPr>
            <w:r/>
            <w:r>
              <w:rPr>
                <w:sz w:val="17"/>
              </w:rPr>
              <w:t>7 días</w:t>
            </w:r>
          </w:p>
        </w:tc>
      </w:tr>
    </w:tbl>
    <w:p>
      <w:pPr>
        <w:spacing w:after="40"/>
      </w:pPr>
    </w:p>
    <w:p>
      <w:pPr>
        <w:spacing w:after="120"/>
      </w:pPr>
      <w:r>
        <w:t>Los 7 días son la ventana que ya usa el equipo para "convierten los que abren contra los que no abren" y la que mide si la pieza mueve a corto plazo. A 90 días la ventaja de quienes abren cae a la mitad (email de 2.3 a 1.6 veces; push de 3.0 a 1.9; WhatsApp de 2.1 a 1.5): sirve para saber si la pieza cambió el resultado o solo lo adelantó.</w:t>
      </w:r>
    </w:p>
    <w:p>
      <w:pPr>
        <w:pStyle w:val="Heading2"/>
      </w:pPr>
      <w:r>
        <w:t>A10. UTMs y enlaces</w:t>
      </w:r>
    </w:p>
    <w:p>
      <w:pPr>
        <w:spacing w:after="120"/>
      </w:pPr>
      <w:r>
        <w:t xml:space="preserve">Todo enlace saliente lleva: </w:t>
      </w:r>
      <w:r>
        <w:rPr>
          <w:rFonts w:ascii="Consolas" w:hAnsi="Consolas" w:eastAsia="Consolas"/>
          <w:color w:val="1F4E79"/>
        </w:rPr>
        <w:t>utm_source=braze</w:t>
      </w:r>
      <w:r>
        <w:t xml:space="preserve">, </w:t>
      </w:r>
      <w:r>
        <w:rPr>
          <w:rFonts w:ascii="Consolas" w:hAnsi="Consolas" w:eastAsia="Consolas"/>
          <w:color w:val="1F4E79"/>
        </w:rPr>
        <w:t>utm_medium=email|push|whatsapp|inapp</w:t>
      </w:r>
      <w:r>
        <w:t xml:space="preserve">, </w:t>
      </w:r>
      <w:r>
        <w:rPr>
          <w:rFonts w:ascii="Consolas" w:hAnsi="Consolas" w:eastAsia="Consolas"/>
          <w:color w:val="1F4E79"/>
        </w:rPr>
        <w:t>utm_campaign=&lt;ticket&gt;</w:t>
      </w:r>
      <w:r>
        <w:t xml:space="preserve">, </w:t>
      </w:r>
      <w:r>
        <w:rPr>
          <w:rFonts w:ascii="Consolas" w:hAnsi="Consolas" w:eastAsia="Consolas"/>
          <w:color w:val="1F4E79"/>
        </w:rPr>
        <w:t>utm_content=&lt;posición del paso, ej. 01-email-oferta-t1&gt;</w:t>
      </w:r>
      <w:r>
        <w:t xml:space="preserve">. Con el ticket en </w:t>
      </w:r>
      <w:r>
        <w:rPr>
          <w:rFonts w:ascii="Consolas" w:hAnsi="Consolas" w:eastAsia="Consolas"/>
          <w:color w:val="1F4E79"/>
        </w:rPr>
        <w:t>utm_campaign</w:t>
      </w:r>
      <w:r>
        <w:t xml:space="preserve"> la analítica web cruza con Databricks sin leer nombres.</w:t>
      </w:r>
    </w:p>
    <w:p>
      <w:pPr>
        <w:pStyle w:val="Heading2"/>
      </w:pPr>
      <w:r>
        <w:t>A11. Archivo, versiones e higiene</w:t>
      </w:r>
    </w:p>
    <w:p>
      <w:pPr>
        <w:pStyle w:val="ListBullet"/>
      </w:pPr>
      <w:r>
        <w:t>Una pieza sin envío en 90 días se archiva. Hoy hay 186 activas y 5,958 archivadas: la proporción está bien, el problema son las activas que duplican.</w:t>
      </w:r>
    </w:p>
    <w:p>
      <w:pPr>
        <w:pStyle w:val="ListBullet"/>
      </w:pPr>
      <w:r>
        <w:t>Una familia tiene una sola versión activa. Al activar la nueva, se archiva la anterior el mismo día. Las 15 familias con 10 o más versiones se consolidan en una.</w:t>
      </w:r>
    </w:p>
    <w:p>
      <w:pPr>
        <w:pStyle w:val="ListBullet"/>
      </w:pPr>
      <w:r>
        <w:t>Las 109 piezas activas en 13 combinaciones duplicadas (A1) se revisan una por una: se queda una, se archivan las demás. Las 79 sin ningún dato en el nombre se renombran o se archivan.</w:t>
      </w:r>
    </w:p>
    <w:p>
      <w:pPr>
        <w:pStyle w:val="ListBullet"/>
      </w:pPr>
      <w:r>
        <w:rPr>
          <w:rFonts w:ascii="Consolas" w:hAnsi="Consolas" w:eastAsia="Consolas"/>
          <w:color w:val="1F4E79"/>
        </w:rPr>
        <w:t>TEST-</w:t>
      </w:r>
      <w:r>
        <w:t xml:space="preserve">, </w:t>
      </w:r>
      <w:r>
        <w:rPr>
          <w:rFonts w:ascii="Consolas" w:hAnsi="Consolas" w:eastAsia="Consolas"/>
          <w:color w:val="1F4E79"/>
        </w:rPr>
        <w:t>QA</w:t>
      </w:r>
      <w:r>
        <w:t xml:space="preserve">, </w:t>
      </w:r>
      <w:r>
        <w:rPr>
          <w:rFonts w:ascii="Consolas" w:hAnsi="Consolas" w:eastAsia="Consolas"/>
          <w:color w:val="1F4E79"/>
        </w:rPr>
        <w:t>Prueba</w:t>
      </w:r>
      <w:r>
        <w:t xml:space="preserve">, </w:t>
      </w:r>
      <w:r>
        <w:rPr>
          <w:rFonts w:ascii="Consolas" w:hAnsi="Consolas" w:eastAsia="Consolas"/>
          <w:color w:val="1F4E79"/>
        </w:rPr>
        <w:t>Copy of</w:t>
      </w:r>
      <w:r>
        <w:t xml:space="preserve"> con envíos reales: se pausan hoy y se revisan (171 comunicaciones, 7.26 M envíos en el periodo). La más grande, </w:t>
      </w:r>
      <w:r>
        <w:rPr>
          <w:rFonts w:ascii="Consolas" w:hAnsi="Consolas" w:eastAsia="Consolas"/>
          <w:color w:val="1F4E79"/>
        </w:rPr>
        <w:t>QA-KPay-B001 ReminderRegistroTelefono</w:t>
      </w:r>
      <w:r>
        <w:t xml:space="preserve"> (1.87 M push, 0.01 % de apertura), o se renombra como producción o se apaga.</w:t>
      </w:r>
    </w:p>
    <w:p>
      <w:pPr>
        <w:pStyle w:val="ListBullet"/>
      </w:pPr>
      <w:r>
        <w:t>Las dos versiones del email de desembolso (</w:t>
      </w:r>
      <w:r>
        <w:rPr>
          <w:rFonts w:ascii="Consolas" w:hAnsi="Consolas" w:eastAsia="Consolas"/>
          <w:color w:val="1F4E79"/>
        </w:rPr>
        <w:t>KCash-Loan-Application-disbursed</w:t>
      </w:r>
      <w:r>
        <w:t xml:space="preserve"> 20240821 y 20251110) coinciden el mismo día en 600 mil usuarios: se apaga la de 2024.</w:t>
      </w:r>
    </w:p>
    <w:p>
      <w:pPr>
        <w:pStyle w:val="ListBullet"/>
      </w:pPr>
      <w:r>
        <w:t>Revisión mensual de higiene en el ciclo de D4, con la pestaña Catálogo del Sheets como lista.</w:t>
      </w:r>
    </w:p>
    <w:p>
      <w:pPr>
        <w:pStyle w:val="Heading2"/>
      </w:pPr>
      <w:r>
        <w:t>A12. Permisos y aprobación</w:t>
      </w:r>
    </w:p>
    <w:p>
      <w:pPr>
        <w:pStyle w:val="ListBullet"/>
      </w:pPr>
      <w:r>
        <w:t>Crear y editar: cualquier persona del equipo dueño.</w:t>
      </w:r>
    </w:p>
    <w:p>
      <w:pPr>
        <w:pStyle w:val="ListBullet"/>
      </w:pPr>
      <w:r>
        <w:t>Activar una pieza a un segmento real: solo el dueño del segmento maestro (A4) más una persona de MarTech, que revisa el checklist de D3.</w:t>
      </w:r>
    </w:p>
    <w:p>
      <w:pPr>
        <w:pStyle w:val="ListBullet"/>
      </w:pPr>
      <w:r>
        <w:t>Crear segmentos maestros, tags, grupos de suscripción y plantillas: solo MarTech.</w:t>
      </w:r>
    </w:p>
    <w:p>
      <w:pPr>
        <w:pStyle w:val="ListBullet"/>
      </w:pPr>
      <w:r>
        <w:t xml:space="preserve">Envíos a </w:t>
      </w:r>
      <w:r>
        <w:rPr>
          <w:rFonts w:ascii="Consolas" w:hAnsi="Consolas" w:eastAsia="Consolas"/>
          <w:color w:val="1F4E79"/>
        </w:rPr>
        <w:t>Todos</w:t>
      </w:r>
      <w:r>
        <w:t xml:space="preserve"> o a más de 1 M de usuarios: además, aprobación del responsable de CRM y prueba previa al 10 % (B6).</w:t>
      </w:r>
    </w:p>
    <w:p>
      <w:pPr>
        <w:pStyle w:val="ListBullet"/>
      </w:pPr>
      <w:r>
        <w:t>Cambiar una exclusión global: MarTech con Legal (REUS y ARCO) o con Riesgo (Blacklist, CC Freeze).</w:t>
      </w:r>
    </w:p>
    <w:p>
      <w:pPr>
        <w:pStyle w:val="Heading1"/>
        <w:pageBreakBefore/>
      </w:pPr>
      <w:r>
        <w:t>Parte B. Reglas de envío que se configuran una vez</w:t>
      </w:r>
    </w:p>
    <w:p>
      <w:pPr>
        <w:spacing w:after="120"/>
      </w:pPr>
      <w:r>
        <w:t>Son reglas globales en Braze (segmentos de exclusión, frequency capping, filtros por paso). Cambian la operación sin tocar cada campaña.</w:t>
      </w:r>
    </w:p>
    <w:p>
      <w:pPr>
        <w:pStyle w:val="Heading2"/>
      </w:pPr>
      <w:r>
        <w:t>B1. Exclusiones globales para todo lo promocional y lifecycle</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592"/>
            <w:shd w:val="clear" w:color="auto" w:fill="E8EEF4"/>
          </w:tcPr>
          <w:p>
            <w:pPr>
              <w:spacing w:after="0"/>
            </w:pPr>
            <w:r>
              <w:rPr>
                <w:b/>
              </w:rPr>
            </w:r>
            <w:r>
              <w:rPr>
                <w:b/>
                <w:sz w:val="17"/>
              </w:rPr>
              <w:t>Exclusión</w:t>
            </w:r>
          </w:p>
        </w:tc>
        <w:tc>
          <w:tcPr>
            <w:tcW w:type="dxa" w:w="3592"/>
            <w:shd w:val="clear" w:color="auto" w:fill="E8EEF4"/>
          </w:tcPr>
          <w:p>
            <w:pPr>
              <w:spacing w:after="0"/>
            </w:pPr>
            <w:r>
              <w:rPr>
                <w:b/>
              </w:rPr>
            </w:r>
            <w:r>
              <w:rPr>
                <w:b/>
                <w:sz w:val="17"/>
              </w:rPr>
              <w:t>Cifra hoy</w:t>
            </w:r>
          </w:p>
        </w:tc>
        <w:tc>
          <w:tcPr>
            <w:tcW w:type="dxa" w:w="2454"/>
            <w:shd w:val="clear" w:color="auto" w:fill="E8EEF4"/>
          </w:tcPr>
          <w:p>
            <w:pPr>
              <w:spacing w:after="0"/>
            </w:pPr>
            <w:r>
              <w:rPr>
                <w:b/>
              </w:rPr>
            </w:r>
            <w:r>
              <w:rPr>
                <w:b/>
                <w:sz w:val="17"/>
              </w:rPr>
              <w:t>Celda del Sheets</w:t>
            </w:r>
          </w:p>
        </w:tc>
      </w:tr>
      <w:tr>
        <w:tc>
          <w:tcPr>
            <w:tcW w:type="dxa" w:w="3592"/>
          </w:tcPr>
          <w:p>
            <w:pPr>
              <w:spacing w:after="0"/>
            </w:pPr>
            <w:r/>
            <w:r>
              <w:rPr>
                <w:sz w:val="17"/>
              </w:rPr>
              <w:t>Blacklist (</w:t>
            </w:r>
            <w:r>
              <w:rPr>
                <w:rFonts w:ascii="Consolas" w:hAnsi="Consolas" w:eastAsia="Consolas"/>
                <w:color w:val="1F4E79"/>
                <w:sz w:val="17"/>
              </w:rPr>
              <w:t>k_etapa_golden</w:t>
            </w:r>
            <w:r>
              <w:rPr>
                <w:sz w:val="17"/>
              </w:rPr>
              <w:t xml:space="preserve"> = 3)</w:t>
            </w:r>
          </w:p>
        </w:tc>
        <w:tc>
          <w:tcPr>
            <w:tcW w:type="dxa" w:w="3592"/>
          </w:tcPr>
          <w:p>
            <w:pPr>
              <w:spacing w:after="0"/>
            </w:pPr>
            <w:r/>
            <w:r>
              <w:rPr>
                <w:sz w:val="17"/>
              </w:rPr>
              <w:t>426 mil envíos, 146 mil promocionales a 69 mil usuarios</w:t>
            </w:r>
          </w:p>
        </w:tc>
        <w:tc>
          <w:tcPr>
            <w:tcW w:type="dxa" w:w="2454"/>
          </w:tcPr>
          <w:p>
            <w:pPr>
              <w:spacing w:after="0"/>
            </w:pPr>
            <w:r/>
            <w:r>
              <w:rPr>
                <w:sz w:val="17"/>
              </w:rPr>
              <w:t>Estándares, fila 19</w:t>
            </w:r>
          </w:p>
        </w:tc>
      </w:tr>
      <w:tr>
        <w:tc>
          <w:tcPr>
            <w:tcW w:type="dxa" w:w="3592"/>
          </w:tcPr>
          <w:p>
            <w:pPr>
              <w:spacing w:after="0"/>
            </w:pPr>
            <w:r/>
            <w:r>
              <w:rPr>
                <w:sz w:val="17"/>
              </w:rPr>
              <w:t>REUS o ARCO (etapa 6)</w:t>
            </w:r>
          </w:p>
        </w:tc>
        <w:tc>
          <w:tcPr>
            <w:tcW w:type="dxa" w:w="3592"/>
          </w:tcPr>
          <w:p>
            <w:pPr>
              <w:spacing w:after="0"/>
            </w:pPr>
            <w:r/>
            <w:r>
              <w:rPr>
                <w:sz w:val="17"/>
              </w:rPr>
              <w:t>490 mil envíos, 249 mil promocionales a 104 mil usuarios. Un WhatsApp promocional a alguien en REUS es una queja potencial ante Condusef</w:t>
            </w:r>
          </w:p>
        </w:tc>
        <w:tc>
          <w:tcPr>
            <w:tcW w:type="dxa" w:w="2454"/>
          </w:tcPr>
          <w:p>
            <w:pPr>
              <w:spacing w:after="0"/>
            </w:pPr>
            <w:r/>
            <w:r>
              <w:rPr>
                <w:sz w:val="17"/>
              </w:rPr>
              <w:t>Estándares, fila 19</w:t>
            </w:r>
          </w:p>
        </w:tc>
      </w:tr>
      <w:tr>
        <w:tc>
          <w:tcPr>
            <w:tcW w:type="dxa" w:w="3592"/>
          </w:tcPr>
          <w:p>
            <w:pPr>
              <w:spacing w:after="0"/>
            </w:pPr>
            <w:r/>
            <w:r>
              <w:rPr>
                <w:sz w:val="17"/>
              </w:rPr>
              <w:t>Tarjeta KPay congelada (etapa 4), para promociones de KPay</w:t>
            </w:r>
          </w:p>
        </w:tc>
        <w:tc>
          <w:tcPr>
            <w:tcW w:type="dxa" w:w="3592"/>
          </w:tcPr>
          <w:p>
            <w:pPr>
              <w:spacing w:after="0"/>
            </w:pPr>
            <w:r/>
            <w:r>
              <w:rPr>
                <w:sz w:val="17"/>
              </w:rPr>
              <w:t>56.6 M envíos, 43.4 M promocionales. Son promociones de KPay a quien no puede pagar con KPay</w:t>
            </w:r>
          </w:p>
        </w:tc>
        <w:tc>
          <w:tcPr>
            <w:tcW w:type="dxa" w:w="2454"/>
          </w:tcPr>
          <w:p>
            <w:pPr>
              <w:spacing w:after="0"/>
            </w:pPr>
            <w:r/>
            <w:r>
              <w:rPr>
                <w:sz w:val="17"/>
              </w:rPr>
              <w:t>Estándares, fila 19</w:t>
            </w:r>
          </w:p>
        </w:tc>
      </w:tr>
      <w:tr>
        <w:tc>
          <w:tcPr>
            <w:tcW w:type="dxa" w:w="3592"/>
          </w:tcPr>
          <w:p>
            <w:pPr>
              <w:spacing w:after="0"/>
            </w:pPr>
            <w:r/>
            <w:r>
              <w:rPr>
                <w:sz w:val="17"/>
              </w:rPr>
              <w:t>Total promocional a etapas bloqueadas</w:t>
            </w:r>
          </w:p>
        </w:tc>
        <w:tc>
          <w:tcPr>
            <w:tcW w:type="dxa" w:w="3592"/>
          </w:tcPr>
          <w:p>
            <w:pPr>
              <w:spacing w:after="0"/>
            </w:pPr>
            <w:r/>
            <w:r>
              <w:rPr>
                <w:sz w:val="17"/>
              </w:rPr>
              <w:t>43.78 M envíos (Marketing 16.5 M, Sales 13.0 M, Product Growth 11.4 M, Others 2.8 M). En WhatsApp, 3.8 M MXN del periodo</w:t>
            </w:r>
          </w:p>
        </w:tc>
        <w:tc>
          <w:tcPr>
            <w:tcW w:type="dxa" w:w="2454"/>
          </w:tcPr>
          <w:p>
            <w:pPr>
              <w:spacing w:after="0"/>
            </w:pPr>
            <w:r/>
            <w:r>
              <w:rPr>
                <w:sz w:val="17"/>
              </w:rPr>
              <w:t>Estándares, fila 19 y columnas por equipo</w:t>
            </w:r>
          </w:p>
        </w:tc>
      </w:tr>
      <w:tr>
        <w:tc>
          <w:tcPr>
            <w:tcW w:type="dxa" w:w="3592"/>
          </w:tcPr>
          <w:p>
            <w:pPr>
              <w:spacing w:after="0"/>
            </w:pPr>
            <w:r/>
            <w:r>
              <w:rPr>
                <w:sz w:val="17"/>
              </w:rPr>
              <w:t>Dados de baja de email que siguen recibiendo promocional</w:t>
            </w:r>
          </w:p>
        </w:tc>
        <w:tc>
          <w:tcPr>
            <w:tcW w:type="dxa" w:w="3592"/>
          </w:tcPr>
          <w:p>
            <w:pPr>
              <w:spacing w:after="0"/>
            </w:pPr>
            <w:r/>
            <w:r>
              <w:rPr>
                <w:sz w:val="17"/>
              </w:rPr>
              <w:t>79,994 emails en 33 familias (Marketing 58,988)</w:t>
            </w:r>
          </w:p>
        </w:tc>
        <w:tc>
          <w:tcPr>
            <w:tcW w:type="dxa" w:w="2454"/>
          </w:tcPr>
          <w:p>
            <w:pPr>
              <w:spacing w:after="0"/>
            </w:pPr>
            <w:r/>
            <w:r>
              <w:rPr>
                <w:sz w:val="17"/>
              </w:rPr>
              <w:t>Estándares, fila 21</w:t>
            </w:r>
          </w:p>
        </w:tc>
      </w:tr>
      <w:tr>
        <w:tc>
          <w:tcPr>
            <w:tcW w:type="dxa" w:w="3592"/>
          </w:tcPr>
          <w:p>
            <w:pPr>
              <w:spacing w:after="0"/>
            </w:pPr>
            <w:r/>
            <w:r>
              <w:rPr>
                <w:sz w:val="17"/>
              </w:rPr>
              <w:t>WhatsApp sin entrega en los últimos 3 envíos</w:t>
            </w:r>
          </w:p>
        </w:tc>
        <w:tc>
          <w:tcPr>
            <w:tcW w:type="dxa" w:w="3592"/>
          </w:tcPr>
          <w:p>
            <w:pPr>
              <w:spacing w:after="0"/>
            </w:pPr>
            <w:r/>
            <w:r>
              <w:rPr>
                <w:sz w:val="17"/>
              </w:rPr>
              <w:t>Entre quienes nunca responden solo se entrega 34 % de sus WhatsApp; en total 25.8 % sin entrega, 14.2 M MXN pagados por mensajes que no llegaron</w:t>
            </w:r>
          </w:p>
        </w:tc>
        <w:tc>
          <w:tcPr>
            <w:tcW w:type="dxa" w:w="2454"/>
          </w:tcPr>
          <w:p>
            <w:pPr>
              <w:spacing w:after="0"/>
            </w:pPr>
            <w:r/>
            <w:r>
              <w:rPr>
                <w:sz w:val="17"/>
              </w:rPr>
              <w:t>Canales, WhatsApp</w:t>
            </w:r>
          </w:p>
        </w:tc>
      </w:tr>
      <w:tr>
        <w:tc>
          <w:tcPr>
            <w:tcW w:type="dxa" w:w="3592"/>
          </w:tcPr>
          <w:p>
            <w:pPr>
              <w:spacing w:after="0"/>
            </w:pPr>
            <w:r/>
            <w:r>
              <w:rPr>
                <w:sz w:val="17"/>
              </w:rPr>
              <w:t>Sin respuesta en 90 días en ningún canal (después de la reactivación de B4)</w:t>
            </w:r>
          </w:p>
        </w:tc>
        <w:tc>
          <w:tcPr>
            <w:tcW w:type="dxa" w:w="3592"/>
          </w:tcPr>
          <w:p>
            <w:pPr>
              <w:spacing w:after="0"/>
            </w:pPr>
            <w:r/>
            <w:r>
              <w:rPr>
                <w:sz w:val="17"/>
              </w:rPr>
              <w:t>4.10 M usuarios (58 % de los que recibieron algo en el trimestre), 36 % de los mensajes, 0.37 % de conversión</w:t>
            </w:r>
          </w:p>
        </w:tc>
        <w:tc>
          <w:tcPr>
            <w:tcW w:type="dxa" w:w="2454"/>
          </w:tcPr>
          <w:p>
            <w:pPr>
              <w:spacing w:after="0"/>
            </w:pPr>
            <w:r/>
            <w:r>
              <w:rPr>
                <w:sz w:val="17"/>
              </w:rPr>
              <w:t>Insights, "nunca respondieron"</w:t>
            </w:r>
          </w:p>
        </w:tc>
      </w:tr>
    </w:tbl>
    <w:p>
      <w:pPr>
        <w:spacing w:after="40"/>
      </w:pPr>
    </w:p>
    <w:p>
      <w:pPr>
        <w:spacing w:after="120"/>
      </w:pPr>
      <w:r>
        <w:t xml:space="preserve">Regla: los siete segmentos </w:t>
      </w:r>
      <w:r>
        <w:rPr>
          <w:rFonts w:ascii="Consolas" w:hAnsi="Consolas" w:eastAsia="Consolas"/>
          <w:color w:val="1F4E79"/>
        </w:rPr>
        <w:t>EXC-</w:t>
      </w:r>
      <w:r>
        <w:t xml:space="preserve"> se agregan como filtro negativo en la entrada de todo Canvas promocional y lifecycle, y además en cada paso de email (suscripción) y de WhatsApp (entrega). Cobranza y transaccional solo aplican Blacklist según indique Legal (hoy 61 mil envíos de cobranza a REUS y ARCO pendientes de revisar con Legal).</w:t>
      </w:r>
    </w:p>
    <w:p>
      <w:pPr>
        <w:pStyle w:val="Heading2"/>
      </w:pPr>
      <w:r>
        <w:t>B2. Frecuencia</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213"/>
            <w:shd w:val="clear" w:color="auto" w:fill="E8EEF4"/>
          </w:tcPr>
          <w:p>
            <w:pPr>
              <w:spacing w:after="0"/>
            </w:pPr>
            <w:r>
              <w:rPr>
                <w:b/>
              </w:rPr>
            </w:r>
            <w:r>
              <w:rPr>
                <w:b/>
                <w:sz w:val="17"/>
              </w:rPr>
              <w:t>Regla</w:t>
            </w:r>
          </w:p>
        </w:tc>
        <w:tc>
          <w:tcPr>
            <w:tcW w:type="dxa" w:w="3213"/>
            <w:shd w:val="clear" w:color="auto" w:fill="E8EEF4"/>
          </w:tcPr>
          <w:p>
            <w:pPr>
              <w:spacing w:after="0"/>
            </w:pPr>
            <w:r>
              <w:rPr>
                <w:b/>
              </w:rPr>
            </w:r>
            <w:r>
              <w:rPr>
                <w:b/>
                <w:sz w:val="17"/>
              </w:rPr>
              <w:t>Valor</w:t>
            </w:r>
          </w:p>
        </w:tc>
        <w:tc>
          <w:tcPr>
            <w:tcW w:type="dxa" w:w="3213"/>
            <w:shd w:val="clear" w:color="auto" w:fill="E8EEF4"/>
          </w:tcPr>
          <w:p>
            <w:pPr>
              <w:spacing w:after="0"/>
            </w:pPr>
            <w:r>
              <w:rPr>
                <w:b/>
              </w:rPr>
            </w:r>
            <w:r>
              <w:rPr>
                <w:b/>
                <w:sz w:val="17"/>
              </w:rPr>
              <w:t>Cifra que la sostiene</w:t>
            </w:r>
          </w:p>
        </w:tc>
      </w:tr>
      <w:tr>
        <w:tc>
          <w:tcPr>
            <w:tcW w:type="dxa" w:w="3213"/>
          </w:tcPr>
          <w:p>
            <w:pPr>
              <w:spacing w:after="0"/>
            </w:pPr>
            <w:r/>
            <w:r>
              <w:rPr>
                <w:sz w:val="17"/>
              </w:rPr>
              <w:t>Toques de la misma comunicación al usuario en el mes (promocional)</w:t>
            </w:r>
          </w:p>
        </w:tc>
        <w:tc>
          <w:tcPr>
            <w:tcW w:type="dxa" w:w="3213"/>
          </w:tcPr>
          <w:p>
            <w:pPr>
              <w:spacing w:after="0"/>
            </w:pPr>
            <w:r/>
            <w:r>
              <w:rPr>
                <w:sz w:val="17"/>
              </w:rPr>
              <w:t>Máximo 2; el segundo solo a quien no abrió el primero</w:t>
            </w:r>
          </w:p>
        </w:tc>
        <w:tc>
          <w:tcPr>
            <w:tcW w:type="dxa" w:w="3213"/>
          </w:tcPr>
          <w:p>
            <w:pPr>
              <w:spacing w:after="0"/>
            </w:pPr>
            <w:r/>
            <w:r>
              <w:rPr>
                <w:sz w:val="17"/>
              </w:rPr>
              <w:t>Con 2 toques el clic de email sube de 0.76 % a 1.76 % y el push de 1.18 % a 2.52 %; con 3 a 4 el clic cae a 0.48 % (Insights, toques)</w:t>
            </w:r>
          </w:p>
        </w:tc>
      </w:tr>
      <w:tr>
        <w:tc>
          <w:tcPr>
            <w:tcW w:type="dxa" w:w="3213"/>
          </w:tcPr>
          <w:p>
            <w:pPr>
              <w:spacing w:after="0"/>
            </w:pPr>
            <w:r/>
            <w:r>
              <w:rPr>
                <w:sz w:val="17"/>
              </w:rPr>
              <w:t>Mensajes promocionales por usuario por semana (todas las comunicaciones, todos los canales)</w:t>
            </w:r>
          </w:p>
        </w:tc>
        <w:tc>
          <w:tcPr>
            <w:tcW w:type="dxa" w:w="3213"/>
          </w:tcPr>
          <w:p>
            <w:pPr>
              <w:spacing w:after="0"/>
            </w:pPr>
            <w:r/>
            <w:r>
              <w:rPr>
                <w:sz w:val="17"/>
              </w:rPr>
              <w:t>Máximo 5</w:t>
            </w:r>
          </w:p>
        </w:tc>
        <w:tc>
          <w:tcPr>
            <w:tcW w:type="dxa" w:w="3213"/>
          </w:tcPr>
          <w:p>
            <w:pPr>
              <w:spacing w:after="0"/>
            </w:pPr>
            <w:r/>
            <w:r>
              <w:rPr>
                <w:sz w:val="17"/>
              </w:rPr>
              <w:t>METRICAS.md; el salto de bajas está entre 5 y 6 mensajes en 9 meses (de 1.3 a 9.7 eventos de baja por 100 usuarios). Hoy 5.3 % de los usuarios recibe 41 o más mensajes en el periodo, debajo del estándar (Estándares, fila 11)</w:t>
            </w:r>
          </w:p>
        </w:tc>
      </w:tr>
      <w:tr>
        <w:tc>
          <w:tcPr>
            <w:tcW w:type="dxa" w:w="3213"/>
          </w:tcPr>
          <w:p>
            <w:pPr>
              <w:spacing w:after="0"/>
            </w:pPr>
            <w:r/>
            <w:r>
              <w:rPr>
                <w:sz w:val="17"/>
              </w:rPr>
              <w:t>Familias promocionales distintas por usuario al día</w:t>
            </w:r>
          </w:p>
        </w:tc>
        <w:tc>
          <w:tcPr>
            <w:tcW w:type="dxa" w:w="3213"/>
          </w:tcPr>
          <w:p>
            <w:pPr>
              <w:spacing w:after="0"/>
            </w:pPr>
            <w:r/>
            <w:r>
              <w:rPr>
                <w:sz w:val="17"/>
              </w:rPr>
              <w:t>Máximo 2</w:t>
            </w:r>
          </w:p>
        </w:tc>
        <w:tc>
          <w:tcPr>
            <w:tcW w:type="dxa" w:w="3213"/>
          </w:tcPr>
          <w:p>
            <w:pPr>
              <w:spacing w:after="0"/>
            </w:pPr>
            <w:r/>
            <w:r>
              <w:rPr>
                <w:sz w:val="17"/>
              </w:rPr>
              <w:t>La baja por usuario-día sube de 0.36 a 0.70 por mil entre 1 y 8 o más campañas en el día; 9 % de los usuario-días con 3 o más campañas concentra 24 % de los mensajes (Estándares, fila 12)</w:t>
            </w:r>
          </w:p>
        </w:tc>
      </w:tr>
      <w:tr>
        <w:tc>
          <w:tcPr>
            <w:tcW w:type="dxa" w:w="3213"/>
          </w:tcPr>
          <w:p>
            <w:pPr>
              <w:spacing w:after="0"/>
            </w:pPr>
            <w:r/>
            <w:r>
              <w:rPr>
                <w:sz w:val="17"/>
              </w:rPr>
              <w:t>Push promocional por usuario al día</w:t>
            </w:r>
          </w:p>
        </w:tc>
        <w:tc>
          <w:tcPr>
            <w:tcW w:type="dxa" w:w="3213"/>
          </w:tcPr>
          <w:p>
            <w:pPr>
              <w:spacing w:after="0"/>
            </w:pPr>
            <w:r/>
            <w:r>
              <w:rPr>
                <w:sz w:val="17"/>
              </w:rPr>
              <w:t>Máximo 1</w:t>
            </w:r>
          </w:p>
        </w:tc>
        <w:tc>
          <w:tcPr>
            <w:tcW w:type="dxa" w:w="3213"/>
          </w:tcPr>
          <w:p>
            <w:pPr>
              <w:spacing w:after="0"/>
            </w:pPr>
            <w:r/>
            <w:r>
              <w:rPr>
                <w:sz w:val="17"/>
              </w:rPr>
              <w:t>Los pares que más se pisan son push + push de Marketing y Sales el mismo día (1.54 M, 1.45 M, 1.23 M usuarios)</w:t>
            </w:r>
          </w:p>
        </w:tc>
      </w:tr>
      <w:tr>
        <w:tc>
          <w:tcPr>
            <w:tcW w:type="dxa" w:w="3213"/>
          </w:tcPr>
          <w:p>
            <w:pPr>
              <w:spacing w:after="0"/>
            </w:pPr>
            <w:r/>
            <w:r>
              <w:rPr>
                <w:sz w:val="17"/>
              </w:rPr>
              <w:t>Separación entre dos promocionales al mismo usuario</w:t>
            </w:r>
          </w:p>
        </w:tc>
        <w:tc>
          <w:tcPr>
            <w:tcW w:type="dxa" w:w="3213"/>
          </w:tcPr>
          <w:p>
            <w:pPr>
              <w:spacing w:after="0"/>
            </w:pPr>
            <w:r/>
            <w:r>
              <w:rPr>
                <w:sz w:val="17"/>
              </w:rPr>
              <w:t>24 horas</w:t>
            </w:r>
          </w:p>
        </w:tc>
        <w:tc>
          <w:tcPr>
            <w:tcW w:type="dxa" w:w="3213"/>
          </w:tcPr>
          <w:p>
            <w:pPr>
              <w:spacing w:after="0"/>
            </w:pPr>
            <w:r/>
            <w:r>
              <w:rPr>
                <w:sz w:val="17"/>
              </w:rPr>
              <w:t>Mismo dato</w:t>
            </w:r>
          </w:p>
        </w:tc>
      </w:tr>
      <w:tr>
        <w:tc>
          <w:tcPr>
            <w:tcW w:type="dxa" w:w="3213"/>
          </w:tcPr>
          <w:p>
            <w:pPr>
              <w:spacing w:after="0"/>
            </w:pPr>
            <w:r/>
            <w:r>
              <w:rPr>
                <w:sz w:val="17"/>
              </w:rPr>
              <w:t>Onboarding (retargeting de registro: Veriff, PersonalInfo, NIP)</w:t>
            </w:r>
          </w:p>
        </w:tc>
        <w:tc>
          <w:tcPr>
            <w:tcW w:type="dxa" w:w="3213"/>
          </w:tcPr>
          <w:p>
            <w:pPr>
              <w:spacing w:after="0"/>
            </w:pPr>
            <w:r/>
            <w:r>
              <w:rPr>
                <w:sz w:val="17"/>
              </w:rPr>
              <w:t>1 email al día, máximo 3 en la primera semana; el resto por push o in-app</w:t>
            </w:r>
          </w:p>
        </w:tc>
        <w:tc>
          <w:tcPr>
            <w:tcW w:type="dxa" w:w="3213"/>
          </w:tcPr>
          <w:p>
            <w:pPr>
              <w:spacing w:after="0"/>
            </w:pPr>
            <w:r/>
            <w:r>
              <w:rPr>
                <w:sz w:val="17"/>
              </w:rPr>
              <w:t>Hoy manda hasta 2 al día y explica 22 % de las bajas de usuarios nuevos, con mediana de 3 a 4 días hasta la baja</w:t>
            </w:r>
          </w:p>
        </w:tc>
      </w:tr>
      <w:tr>
        <w:tc>
          <w:tcPr>
            <w:tcW w:type="dxa" w:w="3213"/>
          </w:tcPr>
          <w:p>
            <w:pPr>
              <w:spacing w:after="0"/>
            </w:pPr>
            <w:r/>
            <w:r>
              <w:rPr>
                <w:sz w:val="17"/>
              </w:rPr>
              <w:t>Email a usuario nuevo</w:t>
            </w:r>
          </w:p>
        </w:tc>
        <w:tc>
          <w:tcPr>
            <w:tcW w:type="dxa" w:w="3213"/>
          </w:tcPr>
          <w:p>
            <w:pPr>
              <w:spacing w:after="0"/>
            </w:pPr>
            <w:r/>
            <w:r>
              <w:rPr>
                <w:sz w:val="17"/>
              </w:rPr>
              <w:t>Una sola secuencia de bienvenida; nada más entra hasta que termina</w:t>
            </w:r>
          </w:p>
        </w:tc>
        <w:tc>
          <w:tcPr>
            <w:tcW w:type="dxa" w:w="3213"/>
          </w:tcPr>
          <w:p>
            <w:pPr>
              <w:spacing w:after="0"/>
            </w:pPr>
            <w:r/>
            <w:r>
              <w:rPr>
                <w:sz w:val="17"/>
              </w:rPr>
              <w:t>33 % de los nuevos se da de baja con el primer email; antes de irse recibieron 4.2 familias distintas</w:t>
            </w:r>
          </w:p>
        </w:tc>
      </w:tr>
    </w:tbl>
    <w:p>
      <w:pPr>
        <w:spacing w:after="40"/>
      </w:pPr>
    </w:p>
    <w:p>
      <w:pPr>
        <w:spacing w:after="120"/>
      </w:pPr>
      <w:r>
        <w:t>Cómo se configura: frequency capping global en Braze por tipo (promocional) y canal; los límites por comunicación con el paso de Decision y el tope del Canvas; el onboarding con el tope del Canvas de bienvenida.</w:t>
      </w:r>
    </w:p>
    <w:p>
      <w:pPr>
        <w:pStyle w:val="Heading2"/>
      </w:pPr>
      <w:r>
        <w:t>B3. Canal por usuario: el que responde</w:t>
      </w:r>
    </w:p>
    <w:p>
      <w:pPr>
        <w:pStyle w:val="ListBullet"/>
      </w:pPr>
      <w:r>
        <w:t xml:space="preserve">Atributo </w:t>
      </w:r>
      <w:r>
        <w:rPr>
          <w:rFonts w:ascii="Consolas" w:hAnsi="Consolas" w:eastAsia="Consolas"/>
          <w:color w:val="1F4E79"/>
        </w:rPr>
        <w:t>brz_canal_preferido_90d</w:t>
      </w:r>
      <w:r>
        <w:t xml:space="preserve"> (A7). Lo promocional se manda por ese canal y no por los demás. Si el usuario respondió a dos, se usa el más barato (in-app, push, email, WhatsApp en ese orden).</w:t>
      </w:r>
    </w:p>
    <w:p>
      <w:pPr>
        <w:pStyle w:val="ListBullet"/>
      </w:pPr>
      <w:r>
        <w:t>Cifra: 394 M mensajes (59 %) fueron a un canal al que el usuario nunca respondió, 18.7 M MXN. Quitando a quienes no responden a nada, 235 M mensajes y 10.7 M MXN a canales mudos de gente que sí responde por otro lado. Con ventana de 90 días son 75 M mensajes y 3.1 M MXN por trimestre (Estándares, fila 14; Insights, canal mudo).</w:t>
      </w:r>
    </w:p>
    <w:p>
      <w:pPr>
        <w:pStyle w:val="ListBullet"/>
      </w:pPr>
      <w:r>
        <w:t>149 M emails fueron a 3.9 M usuarios que responden a otro canal pero nunca hicieron clic en un email (7.5 M MXN). 3.2 M WhatsApp entregados (3.2 M MXN) a quien nunca leyó uno. 80 M push a quien nunca abrió uno.</w:t>
      </w:r>
    </w:p>
    <w:p>
      <w:pPr>
        <w:pStyle w:val="ListBullet"/>
      </w:pPr>
      <w:r>
        <w:t>Excepción: transaccional y cobranza van por el canal que define el proceso, no por el preferido.</w:t>
      </w:r>
    </w:p>
    <w:p>
      <w:pPr>
        <w:pStyle w:val="Heading2"/>
      </w:pPr>
      <w:r>
        <w:t>B4. Reactivación y salida</w:t>
      </w:r>
    </w:p>
    <w:p>
      <w:pPr>
        <w:pStyle w:val="ListBullet"/>
      </w:pPr>
      <w:r>
        <w:t xml:space="preserve">Quien no respondió a nada en 90 días entra a una sola secuencia de reactivación: 3 toques en 30 días, un solo canal (el más barato contactable), un solo gancho (lo que dejó a medias). Si no responde, pasa a </w:t>
      </w:r>
      <w:r>
        <w:rPr>
          <w:rFonts w:ascii="Consolas" w:hAnsi="Consolas" w:eastAsia="Consolas"/>
          <w:color w:val="1F4E79"/>
        </w:rPr>
        <w:t>EXC-Global-SinRespuesta90d</w:t>
      </w:r>
      <w:r>
        <w:t xml:space="preserve"> y sale de todo lo promocional hasta que vuelva a dar señal (abre la app, abre un email, un push).</w:t>
      </w:r>
    </w:p>
    <w:p>
      <w:pPr>
        <w:pStyle w:val="ListBullet"/>
      </w:pPr>
      <w:r>
        <w:t>Regla de los 5 emails para nuevos: si un usuario nuevo no abrió ninguno de sus primeros 5 emails, se pausa lo promocional por email (la mediana de emails antes de la baja es 5).</w:t>
      </w:r>
    </w:p>
    <w:p>
      <w:pPr>
        <w:pStyle w:val="ListBullet"/>
      </w:pPr>
      <w:r>
        <w:t>Cifra: 14.2 M usuarios (73 %) no respondieron a nada en 9 meses y se llevaron 24 % de los mensajes y 14 % del costo con 0.08 % de conversión (Insights).</w:t>
      </w:r>
    </w:p>
    <w:p>
      <w:pPr>
        <w:pStyle w:val="Heading2"/>
      </w:pPr>
      <w:r>
        <w:t>B5. WhatsApp</w:t>
      </w:r>
    </w:p>
    <w:p>
      <w:pPr>
        <w:pStyle w:val="ListBullet"/>
      </w:pPr>
      <w:r>
        <w:t xml:space="preserve">Solo a </w:t>
      </w:r>
      <w:r>
        <w:rPr>
          <w:rFonts w:ascii="Consolas" w:hAnsi="Consolas" w:eastAsia="Consolas"/>
          <w:color w:val="1F4E79"/>
        </w:rPr>
        <w:t>SEG</w:t>
      </w:r>
      <w:r>
        <w:t xml:space="preserve"> de activos, recurrentes o nuevos, o a quien reaccionó a un paso previo de push, email o in-app. Nunca WhatsApp masivo a bases frías: las bases frías se llevan 23 M MXN (un tercio del gasto del canal) con 68.5 % de entrega y 1.1 conversiones de referencia por mil contra 17 en activos.</w:t>
      </w:r>
    </w:p>
    <w:p>
      <w:pPr>
        <w:pStyle w:val="ListBullet"/>
      </w:pPr>
      <w:r>
        <w:t xml:space="preserve">Exclusión </w:t>
      </w:r>
      <w:r>
        <w:rPr>
          <w:rFonts w:ascii="Consolas" w:hAnsi="Consolas" w:eastAsia="Consolas"/>
          <w:color w:val="1F4E79"/>
        </w:rPr>
        <w:t>EXC-WA-SinEntrega3</w:t>
      </w:r>
      <w:r>
        <w:t>. Meta cobra el entregado, pero un número que falla tres veces no existe y además castiga la calidad del número de la empresa.</w:t>
      </w:r>
    </w:p>
    <w:p>
      <w:pPr>
        <w:pStyle w:val="ListBullet"/>
      </w:pPr>
      <w:r>
        <w:t>Mínimo de entrega para que una pieza siga: 80 %. Hoy la operación está en 74.2 % (Estándares, fila 7). Marketing 74.2 %, Product Growth 71.9 %, Others 71.4 %, Sales 79.9 %.</w:t>
      </w:r>
    </w:p>
    <w:p>
      <w:pPr>
        <w:pStyle w:val="ListBullet"/>
      </w:pPr>
      <w:r>
        <w:t>Un WhatsApp al mes por usuario como tope promocional.</w:t>
      </w:r>
    </w:p>
    <w:p>
      <w:pPr>
        <w:pStyle w:val="Heading2"/>
      </w:pPr>
      <w:r>
        <w:t>B6. Tamaño y pruebas</w:t>
      </w:r>
    </w:p>
    <w:p>
      <w:pPr>
        <w:pStyle w:val="ListBullet"/>
      </w:pPr>
      <w:r>
        <w:t>Envío a más de 1 M de usuarios: prueba previa al 10 %, criterio de segmento (etapa, última acción o canal donde respondió) y aprobación de CRM. Un envío a más de 1 M responde 7 veces menos por email (0.16 % contra 1.15 % en 10 a 100 mil) y genera más bajas (2.5 contra 2.0 por mil).</w:t>
      </w:r>
    </w:p>
    <w:p>
      <w:pPr>
        <w:pStyle w:val="ListBullet"/>
      </w:pPr>
      <w:r>
        <w:t xml:space="preserve">Envío a </w:t>
      </w:r>
      <w:r>
        <w:rPr>
          <w:rFonts w:ascii="Consolas" w:hAnsi="Consolas" w:eastAsia="Consolas"/>
          <w:color w:val="1F4E79"/>
        </w:rPr>
        <w:t>Todos</w:t>
      </w:r>
      <w:r>
        <w:t>: prohibido sin filtro de respuesta en 90 días. El email de BillPay de junio (16.1 M usuarios, 0.8 M MXN) abrió 7.7 %, hizo clic 0.10 % y se llevó 58 mil usuarios en un día, el 31 % de las bajas de usuarios nuevos del año.</w:t>
      </w:r>
    </w:p>
    <w:p>
      <w:pPr>
        <w:pStyle w:val="ListBullet"/>
      </w:pPr>
      <w:r>
        <w:t>Entre 100 mil y 1 M: prueba al 5 % con lectura de bajas por mil a las 48 horas contra el promedio del canal (3.13 por mil hoy).</w:t>
      </w:r>
    </w:p>
    <w:p>
      <w:pPr>
        <w:pStyle w:val="Heading2"/>
      </w:pPr>
      <w:r>
        <w:t>B7. Grupo de control</w:t>
      </w:r>
    </w:p>
    <w:p>
      <w:pPr>
        <w:pStyle w:val="ListBullet"/>
      </w:pPr>
      <w:r>
        <w:t>Toda pieza promocional nueva reserva un grupo de control del 10 % (5 % si la audiencia pasa de 1 M) en la posición 8 del nombre y en la configuración de Canvas. Es la única forma de separar "el mensaje mueve" de "quien abre ya iba a convertir". Hoy la columna de control group no sirve (A1).</w:t>
      </w:r>
    </w:p>
    <w:p>
      <w:pPr>
        <w:pStyle w:val="ListBullet"/>
      </w:pPr>
      <w:r>
        <w:t>Se lee a 7 y a 90 días con el evento de A9.</w:t>
      </w:r>
    </w:p>
    <w:p>
      <w:pPr>
        <w:pStyle w:val="Heading2"/>
      </w:pPr>
      <w:r>
        <w:t>B8. Cuándo se apaga o se rehace una pieza</w:t>
      </w:r>
    </w:p>
    <w:p>
      <w:pPr>
        <w:spacing w:after="120"/>
      </w:pPr>
      <w:r>
        <w:t>Revisión a las 4 semanas de activada y después cada mes (D4):</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316"/>
            <w:shd w:val="clear" w:color="auto" w:fill="E8EEF4"/>
          </w:tcPr>
          <w:p>
            <w:pPr>
              <w:spacing w:after="0"/>
            </w:pPr>
            <w:r>
              <w:rPr>
                <w:b/>
              </w:rPr>
            </w:r>
            <w:r>
              <w:rPr>
                <w:b/>
                <w:sz w:val="17"/>
              </w:rPr>
              <w:t>Señal</w:t>
            </w:r>
          </w:p>
        </w:tc>
        <w:tc>
          <w:tcPr>
            <w:tcW w:type="dxa" w:w="3755"/>
            <w:shd w:val="clear" w:color="auto" w:fill="E8EEF4"/>
          </w:tcPr>
          <w:p>
            <w:pPr>
              <w:spacing w:after="0"/>
            </w:pPr>
            <w:r>
              <w:rPr>
                <w:b/>
              </w:rPr>
            </w:r>
            <w:r>
              <w:rPr>
                <w:b/>
                <w:sz w:val="17"/>
              </w:rPr>
              <w:t>Umbral</w:t>
            </w:r>
          </w:p>
        </w:tc>
        <w:tc>
          <w:tcPr>
            <w:tcW w:type="dxa" w:w="3567"/>
            <w:shd w:val="clear" w:color="auto" w:fill="E8EEF4"/>
          </w:tcPr>
          <w:p>
            <w:pPr>
              <w:spacing w:after="0"/>
            </w:pPr>
            <w:r>
              <w:rPr>
                <w:b/>
              </w:rPr>
            </w:r>
            <w:r>
              <w:rPr>
                <w:b/>
                <w:sz w:val="17"/>
              </w:rPr>
              <w:t>Acción</w:t>
            </w:r>
          </w:p>
        </w:tc>
      </w:tr>
      <w:tr>
        <w:tc>
          <w:tcPr>
            <w:tcW w:type="dxa" w:w="2316"/>
          </w:tcPr>
          <w:p>
            <w:pPr>
              <w:spacing w:after="0"/>
            </w:pPr>
            <w:r/>
            <w:r>
              <w:rPr>
                <w:sz w:val="17"/>
              </w:rPr>
              <w:t>Respuesta debajo del mínimo del canal</w:t>
            </w:r>
          </w:p>
        </w:tc>
        <w:tc>
          <w:tcPr>
            <w:tcW w:type="dxa" w:w="3755"/>
          </w:tcPr>
          <w:p>
            <w:pPr>
              <w:spacing w:after="0"/>
            </w:pPr>
            <w:r/>
            <w:r>
              <w:rPr>
                <w:sz w:val="17"/>
              </w:rPr>
              <w:t>Email clic 0.3 %, push apertura 0.75 %, WhatsApp lectura 60 %, in-app clic 10 %</w:t>
            </w:r>
          </w:p>
        </w:tc>
        <w:tc>
          <w:tcPr>
            <w:tcW w:type="dxa" w:w="3567"/>
          </w:tcPr>
          <w:p>
            <w:pPr>
              <w:spacing w:after="0"/>
            </w:pPr>
            <w:r/>
            <w:r>
              <w:rPr>
                <w:sz w:val="17"/>
              </w:rPr>
              <w:t>Apagar o rehacer</w:t>
            </w:r>
          </w:p>
        </w:tc>
      </w:tr>
      <w:tr>
        <w:tc>
          <w:tcPr>
            <w:tcW w:type="dxa" w:w="2316"/>
          </w:tcPr>
          <w:p>
            <w:pPr>
              <w:spacing w:after="0"/>
            </w:pPr>
            <w:r/>
            <w:r>
              <w:rPr>
                <w:sz w:val="17"/>
              </w:rPr>
              <w:t>Bajas de email</w:t>
            </w:r>
          </w:p>
        </w:tc>
        <w:tc>
          <w:tcPr>
            <w:tcW w:type="dxa" w:w="3755"/>
          </w:tcPr>
          <w:p>
            <w:pPr>
              <w:spacing w:after="0"/>
            </w:pPr>
            <w:r/>
            <w:r>
              <w:rPr>
                <w:sz w:val="17"/>
              </w:rPr>
              <w:t>Más de 2.5 por mil entregados</w:t>
            </w:r>
          </w:p>
        </w:tc>
        <w:tc>
          <w:tcPr>
            <w:tcW w:type="dxa" w:w="3567"/>
          </w:tcPr>
          <w:p>
            <w:pPr>
              <w:spacing w:after="0"/>
            </w:pPr>
            <w:r/>
            <w:r>
              <w:rPr>
                <w:sz w:val="17"/>
              </w:rPr>
              <w:t>Bajar frecuencia o re-segmentar; si repite al mes, apagar</w:t>
            </w:r>
          </w:p>
        </w:tc>
      </w:tr>
      <w:tr>
        <w:tc>
          <w:tcPr>
            <w:tcW w:type="dxa" w:w="2316"/>
          </w:tcPr>
          <w:p>
            <w:pPr>
              <w:spacing w:after="0"/>
            </w:pPr>
            <w:r/>
            <w:r>
              <w:rPr>
                <w:sz w:val="17"/>
              </w:rPr>
              <w:t>Convierten quienes abren</w:t>
            </w:r>
          </w:p>
        </w:tc>
        <w:tc>
          <w:tcPr>
            <w:tcW w:type="dxa" w:w="3755"/>
          </w:tcPr>
          <w:p>
            <w:pPr>
              <w:spacing w:after="0"/>
            </w:pPr>
            <w:r/>
            <w:r>
              <w:rPr>
                <w:sz w:val="17"/>
              </w:rPr>
              <w:t>Menos de la mitad de lo normal del canal a 7 días (email 8.3 %, push 19.9 %, WhatsApp 6.1 %)</w:t>
            </w:r>
          </w:p>
        </w:tc>
        <w:tc>
          <w:tcPr>
            <w:tcW w:type="dxa" w:w="3567"/>
          </w:tcPr>
          <w:p>
            <w:pPr>
              <w:spacing w:after="0"/>
            </w:pPr>
            <w:r/>
            <w:r>
              <w:rPr>
                <w:sz w:val="17"/>
              </w:rPr>
              <w:t>Apagar el canal: no hay a quién acotar</w:t>
            </w:r>
          </w:p>
        </w:tc>
      </w:tr>
      <w:tr>
        <w:tc>
          <w:tcPr>
            <w:tcW w:type="dxa" w:w="2316"/>
          </w:tcPr>
          <w:p>
            <w:pPr>
              <w:spacing w:after="0"/>
            </w:pPr>
            <w:r/>
            <w:r>
              <w:rPr>
                <w:sz w:val="17"/>
              </w:rPr>
              <w:t>Veces (abren contra no abren)</w:t>
            </w:r>
          </w:p>
        </w:tc>
        <w:tc>
          <w:tcPr>
            <w:tcW w:type="dxa" w:w="3755"/>
          </w:tcPr>
          <w:p>
            <w:pPr>
              <w:spacing w:after="0"/>
            </w:pPr>
            <w:r/>
            <w:r>
              <w:rPr>
                <w:sz w:val="17"/>
              </w:rPr>
              <w:t>Menos de 1.5 con muestra suficiente, en promocional</w:t>
            </w:r>
          </w:p>
        </w:tc>
        <w:tc>
          <w:tcPr>
            <w:tcW w:type="dxa" w:w="3567"/>
          </w:tcPr>
          <w:p>
            <w:pPr>
              <w:spacing w:after="0"/>
            </w:pPr>
            <w:r/>
            <w:r>
              <w:rPr>
                <w:sz w:val="17"/>
              </w:rPr>
              <w:t>El mensaje no cambia nada: rehacer el mensaje o apagar</w:t>
            </w:r>
          </w:p>
        </w:tc>
      </w:tr>
      <w:tr>
        <w:tc>
          <w:tcPr>
            <w:tcW w:type="dxa" w:w="2316"/>
          </w:tcPr>
          <w:p>
            <w:pPr>
              <w:spacing w:after="0"/>
            </w:pPr>
            <w:r/>
            <w:r>
              <w:rPr>
                <w:sz w:val="17"/>
              </w:rPr>
              <w:t>Entrega de WhatsApp</w:t>
            </w:r>
          </w:p>
        </w:tc>
        <w:tc>
          <w:tcPr>
            <w:tcW w:type="dxa" w:w="3755"/>
          </w:tcPr>
          <w:p>
            <w:pPr>
              <w:spacing w:after="0"/>
            </w:pPr>
            <w:r/>
            <w:r>
              <w:rPr>
                <w:sz w:val="17"/>
              </w:rPr>
              <w:t>Debajo de 80 %</w:t>
            </w:r>
          </w:p>
        </w:tc>
        <w:tc>
          <w:tcPr>
            <w:tcW w:type="dxa" w:w="3567"/>
          </w:tcPr>
          <w:p>
            <w:pPr>
              <w:spacing w:after="0"/>
            </w:pPr>
            <w:r/>
            <w:r>
              <w:rPr>
                <w:sz w:val="17"/>
              </w:rPr>
              <w:t>Limpiar base antes de seguir</w:t>
            </w:r>
          </w:p>
        </w:tc>
      </w:tr>
      <w:tr>
        <w:tc>
          <w:tcPr>
            <w:tcW w:type="dxa" w:w="2316"/>
          </w:tcPr>
          <w:p>
            <w:pPr>
              <w:spacing w:after="0"/>
            </w:pPr>
            <w:r/>
            <w:r>
              <w:rPr>
                <w:sz w:val="17"/>
              </w:rPr>
              <w:t>Audiencia</w:t>
            </w:r>
          </w:p>
        </w:tc>
        <w:tc>
          <w:tcPr>
            <w:tcW w:type="dxa" w:w="3755"/>
          </w:tcPr>
          <w:p>
            <w:pPr>
              <w:spacing w:after="0"/>
            </w:pPr>
            <w:r/>
            <w:r>
              <w:rPr>
                <w:sz w:val="17"/>
              </w:rPr>
              <w:t>Más de 1 M sin segmento</w:t>
            </w:r>
          </w:p>
        </w:tc>
        <w:tc>
          <w:tcPr>
            <w:tcW w:type="dxa" w:w="3567"/>
          </w:tcPr>
          <w:p>
            <w:pPr>
              <w:spacing w:after="0"/>
            </w:pPr>
            <w:r/>
            <w:r>
              <w:rPr>
                <w:sz w:val="17"/>
              </w:rPr>
              <w:t>Re-segmentar</w:t>
            </w:r>
          </w:p>
        </w:tc>
      </w:tr>
    </w:tbl>
    <w:p>
      <w:pPr>
        <w:spacing w:after="40"/>
      </w:pPr>
    </w:p>
    <w:p>
      <w:pPr>
        <w:spacing w:after="120"/>
      </w:pPr>
      <w:r>
        <w:t>Las acciones ya están calculadas por familia y canal en la pestaña Campañas (columna acción) y se resumen en Plan_accion. Hoy: 85 campañas activas debajo del mínimo (Estándares, fila 22); por canal, en email hay 12 por apagar, 79 por confirmar apagado, 82 por bajar frecuencia y 28 por rehacer; en push 15, 90, 2 y 89; en WhatsApp 56 por limpiar base.</w:t>
      </w:r>
    </w:p>
    <w:p>
      <w:pPr>
        <w:pStyle w:val="Heading2"/>
      </w:pPr>
      <w:r>
        <w:t>B9. Aprobación antes de activar</w:t>
      </w:r>
    </w:p>
    <w:p>
      <w:pPr>
        <w:spacing w:after="120"/>
      </w:pPr>
      <w:r>
        <w:t>Nadie activa a un segmento real sin el checklist de D3 firmado por el dueño del segmento y MarTech. Para Todos o más de 1 M, también CRM.</w:t>
      </w:r>
    </w:p>
    <w:p>
      <w:pPr>
        <w:pStyle w:val="Heading1"/>
        <w:pageBreakBefore/>
      </w:pPr>
      <w:r>
        <w:t>Parte C. Qué funciona y qué no, por dimensión</w:t>
      </w:r>
    </w:p>
    <w:p>
      <w:pPr>
        <w:spacing w:after="120"/>
      </w:pPr>
      <w:r>
        <w:t>Cada sección trae las cifras de hoy (y dónde están en el Sheets), qué funciona, qué no, y la regla que sale de ahí. Promocional y lifecycle salvo que se diga otra cosa; cobranza y transaccional se comparan aparte porque responden por otra razón.</w:t>
      </w:r>
    </w:p>
    <w:p>
      <w:pPr>
        <w:pStyle w:val="Heading2"/>
      </w:pPr>
      <w:r>
        <w:t>C1. General (toda la operación)</w:t>
      </w:r>
    </w:p>
    <w:p>
      <w:pPr>
        <w:spacing w:after="120"/>
      </w:pPr>
      <w:r>
        <w:t>Cifras (Estándares, columna "valor actual"):</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800"/>
            <w:shd w:val="clear" w:color="auto" w:fill="E8EEF4"/>
          </w:tcPr>
          <w:p>
            <w:pPr>
              <w:spacing w:after="0"/>
            </w:pPr>
            <w:r>
              <w:rPr>
                <w:b/>
              </w:rPr>
            </w:r>
            <w:r>
              <w:rPr>
                <w:b/>
                <w:sz w:val="17"/>
              </w:rPr>
              <w:t>Indicador</w:t>
            </w:r>
          </w:p>
        </w:tc>
        <w:tc>
          <w:tcPr>
            <w:tcW w:type="dxa" w:w="2228"/>
            <w:shd w:val="clear" w:color="auto" w:fill="E8EEF4"/>
          </w:tcPr>
          <w:p>
            <w:pPr>
              <w:spacing w:after="0"/>
            </w:pPr>
            <w:r>
              <w:rPr>
                <w:b/>
              </w:rPr>
            </w:r>
            <w:r>
              <w:rPr>
                <w:b/>
                <w:sz w:val="17"/>
              </w:rPr>
              <w:t>Hoy</w:t>
            </w:r>
          </w:p>
        </w:tc>
        <w:tc>
          <w:tcPr>
            <w:tcW w:type="dxa" w:w="791"/>
            <w:shd w:val="clear" w:color="auto" w:fill="E8EEF4"/>
          </w:tcPr>
          <w:p>
            <w:pPr>
              <w:spacing w:after="0"/>
            </w:pPr>
            <w:r>
              <w:rPr>
                <w:b/>
              </w:rPr>
            </w:r>
            <w:r>
              <w:rPr>
                <w:b/>
                <w:sz w:val="17"/>
              </w:rPr>
              <w:t>Estándar</w:t>
            </w:r>
          </w:p>
        </w:tc>
        <w:tc>
          <w:tcPr>
            <w:tcW w:type="dxa" w:w="3819"/>
            <w:shd w:val="clear" w:color="auto" w:fill="E8EEF4"/>
          </w:tcPr>
          <w:p>
            <w:pPr>
              <w:spacing w:after="0"/>
            </w:pPr>
            <w:r>
              <w:rPr>
                <w:b/>
              </w:rPr>
            </w:r>
            <w:r>
              <w:rPr>
                <w:b/>
                <w:sz w:val="17"/>
              </w:rPr>
              <w:t>Estado</w:t>
            </w:r>
          </w:p>
        </w:tc>
      </w:tr>
      <w:tr>
        <w:tc>
          <w:tcPr>
            <w:tcW w:type="dxa" w:w="2800"/>
          </w:tcPr>
          <w:p>
            <w:pPr>
              <w:spacing w:after="0"/>
            </w:pPr>
            <w:r/>
            <w:r>
              <w:rPr>
                <w:sz w:val="17"/>
              </w:rPr>
              <w:t>Entrega de email</w:t>
            </w:r>
          </w:p>
        </w:tc>
        <w:tc>
          <w:tcPr>
            <w:tcW w:type="dxa" w:w="2228"/>
          </w:tcPr>
          <w:p>
            <w:pPr>
              <w:spacing w:after="0"/>
            </w:pPr>
            <w:r/>
            <w:r>
              <w:rPr>
                <w:sz w:val="17"/>
              </w:rPr>
              <w:t>95.1 %</w:t>
            </w:r>
          </w:p>
        </w:tc>
        <w:tc>
          <w:tcPr>
            <w:tcW w:type="dxa" w:w="791"/>
          </w:tcPr>
          <w:p>
            <w:pPr>
              <w:spacing w:after="0"/>
            </w:pPr>
            <w:r/>
            <w:r>
              <w:rPr>
                <w:sz w:val="17"/>
              </w:rPr>
              <w:t>95 % o más</w:t>
            </w:r>
          </w:p>
        </w:tc>
        <w:tc>
          <w:tcPr>
            <w:tcW w:type="dxa" w:w="3819"/>
          </w:tcPr>
          <w:p>
            <w:pPr>
              <w:spacing w:after="0"/>
            </w:pPr>
            <w:r/>
            <w:r>
              <w:rPr>
                <w:sz w:val="17"/>
              </w:rPr>
              <w:t>Cumple</w:t>
            </w:r>
          </w:p>
        </w:tc>
      </w:tr>
      <w:tr>
        <w:tc>
          <w:tcPr>
            <w:tcW w:type="dxa" w:w="2800"/>
          </w:tcPr>
          <w:p>
            <w:pPr>
              <w:spacing w:after="0"/>
            </w:pPr>
            <w:r/>
            <w:r>
              <w:rPr>
                <w:sz w:val="17"/>
              </w:rPr>
              <w:t>Apertura de email</w:t>
            </w:r>
          </w:p>
        </w:tc>
        <w:tc>
          <w:tcPr>
            <w:tcW w:type="dxa" w:w="2228"/>
          </w:tcPr>
          <w:p>
            <w:pPr>
              <w:spacing w:after="0"/>
            </w:pPr>
            <w:r/>
            <w:r>
              <w:rPr>
                <w:sz w:val="17"/>
              </w:rPr>
              <w:t>23.6 %</w:t>
            </w:r>
          </w:p>
        </w:tc>
        <w:tc>
          <w:tcPr>
            <w:tcW w:type="dxa" w:w="791"/>
          </w:tcPr>
          <w:p>
            <w:pPr>
              <w:spacing w:after="0"/>
            </w:pPr>
            <w:r/>
            <w:r>
              <w:rPr>
                <w:sz w:val="17"/>
              </w:rPr>
              <w:t>15 a 25 %</w:t>
            </w:r>
          </w:p>
        </w:tc>
        <w:tc>
          <w:tcPr>
            <w:tcW w:type="dxa" w:w="3819"/>
          </w:tcPr>
          <w:p>
            <w:pPr>
              <w:spacing w:after="0"/>
            </w:pPr>
            <w:r/>
            <w:r>
              <w:rPr>
                <w:sz w:val="17"/>
              </w:rPr>
              <w:t>Cumple (inflada por Apple MPP; no decidir con ella)</w:t>
            </w:r>
          </w:p>
        </w:tc>
      </w:tr>
      <w:tr>
        <w:tc>
          <w:tcPr>
            <w:tcW w:type="dxa" w:w="2800"/>
          </w:tcPr>
          <w:p>
            <w:pPr>
              <w:spacing w:after="0"/>
            </w:pPr>
            <w:r/>
            <w:r>
              <w:rPr>
                <w:sz w:val="17"/>
              </w:rPr>
              <w:t>Clic de email</w:t>
            </w:r>
          </w:p>
        </w:tc>
        <w:tc>
          <w:tcPr>
            <w:tcW w:type="dxa" w:w="2228"/>
          </w:tcPr>
          <w:p>
            <w:pPr>
              <w:spacing w:after="0"/>
            </w:pPr>
            <w:r/>
            <w:r>
              <w:rPr>
                <w:sz w:val="17"/>
              </w:rPr>
              <w:t>0.92 % (mediana por familia 0.52 %)</w:t>
            </w:r>
          </w:p>
        </w:tc>
        <w:tc>
          <w:tcPr>
            <w:tcW w:type="dxa" w:w="791"/>
          </w:tcPr>
          <w:p>
            <w:pPr>
              <w:spacing w:after="0"/>
            </w:pPr>
            <w:r/>
            <w:r>
              <w:rPr>
                <w:sz w:val="17"/>
              </w:rPr>
              <w:t>1.5 % o más</w:t>
            </w:r>
          </w:p>
        </w:tc>
        <w:tc>
          <w:tcPr>
            <w:tcW w:type="dxa" w:w="3819"/>
          </w:tcPr>
          <w:p>
            <w:pPr>
              <w:spacing w:after="0"/>
            </w:pPr>
            <w:r/>
            <w:r>
              <w:rPr>
                <w:sz w:val="17"/>
              </w:rPr>
              <w:t>Debajo, en los 4 equipos promocionales</w:t>
            </w:r>
          </w:p>
        </w:tc>
      </w:tr>
      <w:tr>
        <w:tc>
          <w:tcPr>
            <w:tcW w:type="dxa" w:w="2800"/>
          </w:tcPr>
          <w:p>
            <w:pPr>
              <w:spacing w:after="0"/>
            </w:pPr>
            <w:r/>
            <w:r>
              <w:rPr>
                <w:sz w:val="17"/>
              </w:rPr>
              <w:t>Bajas de email por mil entregados</w:t>
            </w:r>
          </w:p>
        </w:tc>
        <w:tc>
          <w:tcPr>
            <w:tcW w:type="dxa" w:w="2228"/>
          </w:tcPr>
          <w:p>
            <w:pPr>
              <w:spacing w:after="0"/>
            </w:pPr>
            <w:r/>
            <w:r>
              <w:rPr>
                <w:sz w:val="17"/>
              </w:rPr>
              <w:t>3.13</w:t>
            </w:r>
          </w:p>
        </w:tc>
        <w:tc>
          <w:tcPr>
            <w:tcW w:type="dxa" w:w="791"/>
          </w:tcPr>
          <w:p>
            <w:pPr>
              <w:spacing w:after="0"/>
            </w:pPr>
            <w:r/>
            <w:r>
              <w:rPr>
                <w:sz w:val="17"/>
              </w:rPr>
              <w:t>2.5 o menos</w:t>
            </w:r>
          </w:p>
        </w:tc>
        <w:tc>
          <w:tcPr>
            <w:tcW w:type="dxa" w:w="3819"/>
          </w:tcPr>
          <w:p>
            <w:pPr>
              <w:spacing w:after="0"/>
            </w:pPr>
            <w:r/>
            <w:r>
              <w:rPr>
                <w:sz w:val="17"/>
              </w:rPr>
              <w:t>Debajo</w:t>
            </w:r>
          </w:p>
        </w:tc>
      </w:tr>
      <w:tr>
        <w:tc>
          <w:tcPr>
            <w:tcW w:type="dxa" w:w="2800"/>
          </w:tcPr>
          <w:p>
            <w:pPr>
              <w:spacing w:after="0"/>
            </w:pPr>
            <w:r/>
            <w:r>
              <w:rPr>
                <w:sz w:val="17"/>
              </w:rPr>
              <w:t>Apertura de push</w:t>
            </w:r>
          </w:p>
        </w:tc>
        <w:tc>
          <w:tcPr>
            <w:tcW w:type="dxa" w:w="2228"/>
          </w:tcPr>
          <w:p>
            <w:pPr>
              <w:spacing w:after="0"/>
            </w:pPr>
            <w:r/>
            <w:r>
              <w:rPr>
                <w:sz w:val="17"/>
              </w:rPr>
              <w:t>1.53 % (mediana 1.08 %)</w:t>
            </w:r>
          </w:p>
        </w:tc>
        <w:tc>
          <w:tcPr>
            <w:tcW w:type="dxa" w:w="791"/>
          </w:tcPr>
          <w:p>
            <w:pPr>
              <w:spacing w:after="0"/>
            </w:pPr>
            <w:r/>
            <w:r>
              <w:rPr>
                <w:sz w:val="17"/>
              </w:rPr>
              <w:t>3 % o más</w:t>
            </w:r>
          </w:p>
        </w:tc>
        <w:tc>
          <w:tcPr>
            <w:tcW w:type="dxa" w:w="3819"/>
          </w:tcPr>
          <w:p>
            <w:pPr>
              <w:spacing w:after="0"/>
            </w:pPr>
            <w:r/>
            <w:r>
              <w:rPr>
                <w:sz w:val="17"/>
              </w:rPr>
              <w:t>Debajo</w:t>
            </w:r>
          </w:p>
        </w:tc>
      </w:tr>
      <w:tr>
        <w:tc>
          <w:tcPr>
            <w:tcW w:type="dxa" w:w="2800"/>
          </w:tcPr>
          <w:p>
            <w:pPr>
              <w:spacing w:after="0"/>
            </w:pPr>
            <w:r/>
            <w:r>
              <w:rPr>
                <w:sz w:val="17"/>
              </w:rPr>
              <w:t>Entrega de WhatsApp</w:t>
            </w:r>
          </w:p>
        </w:tc>
        <w:tc>
          <w:tcPr>
            <w:tcW w:type="dxa" w:w="2228"/>
          </w:tcPr>
          <w:p>
            <w:pPr>
              <w:spacing w:after="0"/>
            </w:pPr>
            <w:r/>
            <w:r>
              <w:rPr>
                <w:sz w:val="17"/>
              </w:rPr>
              <w:t>74.2 %</w:t>
            </w:r>
          </w:p>
        </w:tc>
        <w:tc>
          <w:tcPr>
            <w:tcW w:type="dxa" w:w="791"/>
          </w:tcPr>
          <w:p>
            <w:pPr>
              <w:spacing w:after="0"/>
            </w:pPr>
            <w:r/>
            <w:r>
              <w:rPr>
                <w:sz w:val="17"/>
              </w:rPr>
              <w:t>90 % o más</w:t>
            </w:r>
          </w:p>
        </w:tc>
        <w:tc>
          <w:tcPr>
            <w:tcW w:type="dxa" w:w="3819"/>
          </w:tcPr>
          <w:p>
            <w:pPr>
              <w:spacing w:after="0"/>
            </w:pPr>
            <w:r/>
            <w:r>
              <w:rPr>
                <w:sz w:val="17"/>
              </w:rPr>
              <w:t>Debajo</w:t>
            </w:r>
          </w:p>
        </w:tc>
      </w:tr>
      <w:tr>
        <w:tc>
          <w:tcPr>
            <w:tcW w:type="dxa" w:w="2800"/>
          </w:tcPr>
          <w:p>
            <w:pPr>
              <w:spacing w:after="0"/>
            </w:pPr>
            <w:r/>
            <w:r>
              <w:rPr>
                <w:sz w:val="17"/>
              </w:rPr>
              <w:t>Lectura de WhatsApp</w:t>
            </w:r>
          </w:p>
        </w:tc>
        <w:tc>
          <w:tcPr>
            <w:tcW w:type="dxa" w:w="2228"/>
          </w:tcPr>
          <w:p>
            <w:pPr>
              <w:spacing w:after="0"/>
            </w:pPr>
            <w:r/>
            <w:r>
              <w:rPr>
                <w:sz w:val="17"/>
              </w:rPr>
              <w:t>68.8 %</w:t>
            </w:r>
          </w:p>
        </w:tc>
        <w:tc>
          <w:tcPr>
            <w:tcW w:type="dxa" w:w="791"/>
          </w:tcPr>
          <w:p>
            <w:pPr>
              <w:spacing w:after="0"/>
            </w:pPr>
            <w:r/>
            <w:r>
              <w:rPr>
                <w:sz w:val="17"/>
              </w:rPr>
              <w:t>70 % o más</w:t>
            </w:r>
          </w:p>
        </w:tc>
        <w:tc>
          <w:tcPr>
            <w:tcW w:type="dxa" w:w="3819"/>
          </w:tcPr>
          <w:p>
            <w:pPr>
              <w:spacing w:after="0"/>
            </w:pPr>
            <w:r/>
            <w:r>
              <w:rPr>
                <w:sz w:val="17"/>
              </w:rPr>
              <w:t>Debajo por poco</w:t>
            </w:r>
          </w:p>
        </w:tc>
      </w:tr>
      <w:tr>
        <w:tc>
          <w:tcPr>
            <w:tcW w:type="dxa" w:w="2800"/>
          </w:tcPr>
          <w:p>
            <w:pPr>
              <w:spacing w:after="0"/>
            </w:pPr>
            <w:r/>
            <w:r>
              <w:rPr>
                <w:sz w:val="17"/>
              </w:rPr>
              <w:t>Clic de in-app</w:t>
            </w:r>
          </w:p>
        </w:tc>
        <w:tc>
          <w:tcPr>
            <w:tcW w:type="dxa" w:w="2228"/>
          </w:tcPr>
          <w:p>
            <w:pPr>
              <w:spacing w:after="0"/>
            </w:pPr>
            <w:r/>
            <w:r>
              <w:rPr>
                <w:sz w:val="17"/>
              </w:rPr>
              <w:t>38.2 %</w:t>
            </w:r>
          </w:p>
        </w:tc>
        <w:tc>
          <w:tcPr>
            <w:tcW w:type="dxa" w:w="791"/>
          </w:tcPr>
          <w:p>
            <w:pPr>
              <w:spacing w:after="0"/>
            </w:pPr>
            <w:r/>
            <w:r>
              <w:rPr>
                <w:sz w:val="17"/>
              </w:rPr>
              <w:t>5 a 20 %</w:t>
            </w:r>
          </w:p>
        </w:tc>
        <w:tc>
          <w:tcPr>
            <w:tcW w:type="dxa" w:w="3819"/>
          </w:tcPr>
          <w:p>
            <w:pPr>
              <w:spacing w:after="0"/>
            </w:pPr>
            <w:r/>
            <w:r>
              <w:rPr>
                <w:sz w:val="17"/>
              </w:rPr>
              <w:t>Cumple de sobra</w:t>
            </w:r>
          </w:p>
        </w:tc>
      </w:tr>
      <w:tr>
        <w:tc>
          <w:tcPr>
            <w:tcW w:type="dxa" w:w="2800"/>
          </w:tcPr>
          <w:p>
            <w:pPr>
              <w:spacing w:after="0"/>
            </w:pPr>
            <w:r/>
            <w:r>
              <w:rPr>
                <w:sz w:val="17"/>
              </w:rPr>
              <w:t>Toques por comunicación y usuario al mes</w:t>
            </w:r>
          </w:p>
        </w:tc>
        <w:tc>
          <w:tcPr>
            <w:tcW w:type="dxa" w:w="2228"/>
          </w:tcPr>
          <w:p>
            <w:pPr>
              <w:spacing w:after="0"/>
            </w:pPr>
            <w:r/>
            <w:r>
              <w:rPr>
                <w:sz w:val="17"/>
              </w:rPr>
              <w:t>1.71</w:t>
            </w:r>
          </w:p>
        </w:tc>
        <w:tc>
          <w:tcPr>
            <w:tcW w:type="dxa" w:w="791"/>
          </w:tcPr>
          <w:p>
            <w:pPr>
              <w:spacing w:after="0"/>
            </w:pPr>
            <w:r/>
            <w:r>
              <w:rPr>
                <w:sz w:val="17"/>
              </w:rPr>
              <w:t>2 o menos</w:t>
            </w:r>
          </w:p>
        </w:tc>
        <w:tc>
          <w:tcPr>
            <w:tcW w:type="dxa" w:w="3819"/>
          </w:tcPr>
          <w:p>
            <w:pPr>
              <w:spacing w:after="0"/>
            </w:pPr>
            <w:r/>
            <w:r>
              <w:rPr>
                <w:sz w:val="17"/>
              </w:rPr>
              <w:t>Cumple (Collections 3.86)</w:t>
            </w:r>
          </w:p>
        </w:tc>
      </w:tr>
      <w:tr>
        <w:tc>
          <w:tcPr>
            <w:tcW w:type="dxa" w:w="2800"/>
          </w:tcPr>
          <w:p>
            <w:pPr>
              <w:spacing w:after="0"/>
            </w:pPr>
            <w:r/>
            <w:r>
              <w:rPr>
                <w:sz w:val="17"/>
              </w:rPr>
              <w:t>Mensajes por usuario al mes</w:t>
            </w:r>
          </w:p>
        </w:tc>
        <w:tc>
          <w:tcPr>
            <w:tcW w:type="dxa" w:w="2228"/>
          </w:tcPr>
          <w:p>
            <w:pPr>
              <w:spacing w:after="0"/>
            </w:pPr>
            <w:r/>
            <w:r>
              <w:rPr>
                <w:sz w:val="17"/>
              </w:rPr>
              <w:t>10.4</w:t>
            </w:r>
          </w:p>
        </w:tc>
        <w:tc>
          <w:tcPr>
            <w:tcW w:type="dxa" w:w="791"/>
          </w:tcPr>
          <w:p>
            <w:pPr>
              <w:spacing w:after="0"/>
            </w:pPr>
            <w:r/>
          </w:p>
        </w:tc>
        <w:tc>
          <w:tcPr>
            <w:tcW w:type="dxa" w:w="3819"/>
          </w:tcPr>
          <w:p>
            <w:pPr>
              <w:spacing w:after="0"/>
            </w:pPr>
            <w:r/>
            <w:r>
              <w:rPr>
                <w:sz w:val="17"/>
              </w:rPr>
              <w:t>Cumple en promedio; 5.3 % de los usuarios con 41 o más en el periodo</w:t>
            </w:r>
          </w:p>
        </w:tc>
      </w:tr>
      <w:tr>
        <w:tc>
          <w:tcPr>
            <w:tcW w:type="dxa" w:w="2800"/>
          </w:tcPr>
          <w:p>
            <w:pPr>
              <w:spacing w:after="0"/>
            </w:pPr>
            <w:r/>
            <w:r>
              <w:rPr>
                <w:sz w:val="17"/>
              </w:rPr>
              <w:t>Usuario-días con 3 o más campañas</w:t>
            </w:r>
          </w:p>
        </w:tc>
        <w:tc>
          <w:tcPr>
            <w:tcW w:type="dxa" w:w="2228"/>
          </w:tcPr>
          <w:p>
            <w:pPr>
              <w:spacing w:after="0"/>
            </w:pPr>
            <w:r/>
            <w:r>
              <w:rPr>
                <w:sz w:val="17"/>
              </w:rPr>
              <w:t>9.0 %</w:t>
            </w:r>
          </w:p>
        </w:tc>
        <w:tc>
          <w:tcPr>
            <w:tcW w:type="dxa" w:w="791"/>
          </w:tcPr>
          <w:p>
            <w:pPr>
              <w:spacing w:after="0"/>
            </w:pPr>
            <w:r/>
            <w:r>
              <w:rPr>
                <w:sz w:val="17"/>
              </w:rPr>
              <w:t>10 % o menos</w:t>
            </w:r>
          </w:p>
        </w:tc>
        <w:tc>
          <w:tcPr>
            <w:tcW w:type="dxa" w:w="3819"/>
          </w:tcPr>
          <w:p>
            <w:pPr>
              <w:spacing w:after="0"/>
            </w:pPr>
            <w:r/>
            <w:r>
              <w:rPr>
                <w:sz w:val="17"/>
              </w:rPr>
              <w:t>Cumple, pero concentra 24 % de los mensajes</w:t>
            </w:r>
          </w:p>
        </w:tc>
      </w:tr>
      <w:tr>
        <w:tc>
          <w:tcPr>
            <w:tcW w:type="dxa" w:w="2800"/>
          </w:tcPr>
          <w:p>
            <w:pPr>
              <w:spacing w:after="0"/>
            </w:pPr>
            <w:r/>
            <w:r>
              <w:rPr>
                <w:sz w:val="17"/>
              </w:rPr>
              <w:t>Mensajes a canal mudo</w:t>
            </w:r>
          </w:p>
        </w:tc>
        <w:tc>
          <w:tcPr>
            <w:tcW w:type="dxa" w:w="2228"/>
          </w:tcPr>
          <w:p>
            <w:pPr>
              <w:spacing w:after="0"/>
            </w:pPr>
            <w:r/>
            <w:r>
              <w:rPr>
                <w:sz w:val="17"/>
              </w:rPr>
              <w:t>58.9 %</w:t>
            </w:r>
          </w:p>
        </w:tc>
        <w:tc>
          <w:tcPr>
            <w:tcW w:type="dxa" w:w="791"/>
          </w:tcPr>
          <w:p>
            <w:pPr>
              <w:spacing w:after="0"/>
            </w:pPr>
            <w:r/>
          </w:p>
        </w:tc>
        <w:tc>
          <w:tcPr>
            <w:tcW w:type="dxa" w:w="3819"/>
          </w:tcPr>
          <w:p>
            <w:pPr>
              <w:spacing w:after="0"/>
            </w:pPr>
            <w:r/>
            <w:r>
              <w:rPr>
                <w:sz w:val="17"/>
              </w:rPr>
              <w:t>Debajo</w:t>
            </w:r>
          </w:p>
        </w:tc>
      </w:tr>
      <w:tr>
        <w:tc>
          <w:tcPr>
            <w:tcW w:type="dxa" w:w="2800"/>
          </w:tcPr>
          <w:p>
            <w:pPr>
              <w:spacing w:after="0"/>
            </w:pPr>
            <w:r/>
            <w:r>
              <w:rPr>
                <w:sz w:val="17"/>
              </w:rPr>
              <w:t>Usuarios que nunca respondieron (9 meses)</w:t>
            </w:r>
          </w:p>
        </w:tc>
        <w:tc>
          <w:tcPr>
            <w:tcW w:type="dxa" w:w="2228"/>
          </w:tcPr>
          <w:p>
            <w:pPr>
              <w:spacing w:after="0"/>
            </w:pPr>
            <w:r/>
            <w:r>
              <w:rPr>
                <w:sz w:val="17"/>
              </w:rPr>
              <w:t>72.9 %</w:t>
            </w:r>
          </w:p>
        </w:tc>
        <w:tc>
          <w:tcPr>
            <w:tcW w:type="dxa" w:w="791"/>
          </w:tcPr>
          <w:p>
            <w:pPr>
              <w:spacing w:after="0"/>
            </w:pPr>
            <w:r/>
          </w:p>
        </w:tc>
        <w:tc>
          <w:tcPr>
            <w:tcW w:type="dxa" w:w="3819"/>
          </w:tcPr>
          <w:p>
            <w:pPr>
              <w:spacing w:after="0"/>
            </w:pPr>
            <w:r/>
            <w:r>
              <w:rPr>
                <w:sz w:val="17"/>
              </w:rPr>
              <w:t>Debajo</w:t>
            </w:r>
          </w:p>
        </w:tc>
      </w:tr>
      <w:tr>
        <w:tc>
          <w:tcPr>
            <w:tcW w:type="dxa" w:w="2800"/>
          </w:tcPr>
          <w:p>
            <w:pPr>
              <w:spacing w:after="0"/>
            </w:pPr>
            <w:r/>
            <w:r>
              <w:rPr>
                <w:sz w:val="17"/>
              </w:rPr>
              <w:t>Promocional a etapas bloqueadas</w:t>
            </w:r>
          </w:p>
        </w:tc>
        <w:tc>
          <w:tcPr>
            <w:tcW w:type="dxa" w:w="2228"/>
          </w:tcPr>
          <w:p>
            <w:pPr>
              <w:spacing w:after="0"/>
            </w:pPr>
            <w:r/>
            <w:r>
              <w:rPr>
                <w:sz w:val="17"/>
              </w:rPr>
              <w:t>43.78 M envíos</w:t>
            </w:r>
          </w:p>
        </w:tc>
        <w:tc>
          <w:tcPr>
            <w:tcW w:type="dxa" w:w="791"/>
          </w:tcPr>
          <w:p>
            <w:pPr>
              <w:spacing w:after="0"/>
            </w:pPr>
            <w:r/>
            <w:r>
              <w:rPr>
                <w:sz w:val="17"/>
              </w:rPr>
              <w:t>0</w:t>
            </w:r>
          </w:p>
        </w:tc>
        <w:tc>
          <w:tcPr>
            <w:tcW w:type="dxa" w:w="3819"/>
          </w:tcPr>
          <w:p>
            <w:pPr>
              <w:spacing w:after="0"/>
            </w:pPr>
            <w:r/>
            <w:r>
              <w:rPr>
                <w:sz w:val="17"/>
              </w:rPr>
              <w:t>Debajo</w:t>
            </w:r>
          </w:p>
        </w:tc>
      </w:tr>
      <w:tr>
        <w:tc>
          <w:tcPr>
            <w:tcW w:type="dxa" w:w="2800"/>
          </w:tcPr>
          <w:p>
            <w:pPr>
              <w:spacing w:after="0"/>
            </w:pPr>
            <w:r/>
            <w:r>
              <w:rPr>
                <w:sz w:val="17"/>
              </w:rPr>
              <w:t>Promocional a dados de baja</w:t>
            </w:r>
          </w:p>
        </w:tc>
        <w:tc>
          <w:tcPr>
            <w:tcW w:type="dxa" w:w="2228"/>
          </w:tcPr>
          <w:p>
            <w:pPr>
              <w:spacing w:after="0"/>
            </w:pPr>
            <w:r/>
            <w:r>
              <w:rPr>
                <w:sz w:val="17"/>
              </w:rPr>
              <w:t>79,994 emails</w:t>
            </w:r>
          </w:p>
        </w:tc>
        <w:tc>
          <w:tcPr>
            <w:tcW w:type="dxa" w:w="791"/>
          </w:tcPr>
          <w:p>
            <w:pPr>
              <w:spacing w:after="0"/>
            </w:pPr>
            <w:r/>
            <w:r>
              <w:rPr>
                <w:sz w:val="17"/>
              </w:rPr>
              <w:t>0</w:t>
            </w:r>
          </w:p>
        </w:tc>
        <w:tc>
          <w:tcPr>
            <w:tcW w:type="dxa" w:w="3819"/>
          </w:tcPr>
          <w:p>
            <w:pPr>
              <w:spacing w:after="0"/>
            </w:pPr>
            <w:r/>
            <w:r>
              <w:rPr>
                <w:sz w:val="17"/>
              </w:rPr>
              <w:t>Debajo</w:t>
            </w:r>
          </w:p>
        </w:tc>
      </w:tr>
      <w:tr>
        <w:tc>
          <w:tcPr>
            <w:tcW w:type="dxa" w:w="2800"/>
          </w:tcPr>
          <w:p>
            <w:pPr>
              <w:spacing w:after="0"/>
            </w:pPr>
            <w:r/>
            <w:r>
              <w:rPr>
                <w:sz w:val="17"/>
              </w:rPr>
              <w:t>Campañas activas debajo del mínimo del canal</w:t>
            </w:r>
          </w:p>
        </w:tc>
        <w:tc>
          <w:tcPr>
            <w:tcW w:type="dxa" w:w="2228"/>
          </w:tcPr>
          <w:p>
            <w:pPr>
              <w:spacing w:after="0"/>
            </w:pPr>
            <w:r/>
            <w:r>
              <w:rPr>
                <w:sz w:val="17"/>
              </w:rPr>
              <w:t>85</w:t>
            </w:r>
          </w:p>
        </w:tc>
        <w:tc>
          <w:tcPr>
            <w:tcW w:type="dxa" w:w="791"/>
          </w:tcPr>
          <w:p>
            <w:pPr>
              <w:spacing w:after="0"/>
            </w:pPr>
            <w:r/>
            <w:r>
              <w:rPr>
                <w:sz w:val="17"/>
              </w:rPr>
              <w:t>0</w:t>
            </w:r>
          </w:p>
        </w:tc>
        <w:tc>
          <w:tcPr>
            <w:tcW w:type="dxa" w:w="3819"/>
          </w:tcPr>
          <w:p>
            <w:pPr>
              <w:spacing w:after="0"/>
            </w:pPr>
            <w:r/>
            <w:r>
              <w:rPr>
                <w:sz w:val="17"/>
              </w:rPr>
              <w:t>Debajo</w:t>
            </w:r>
          </w:p>
        </w:tc>
      </w:tr>
      <w:tr>
        <w:tc>
          <w:tcPr>
            <w:tcW w:type="dxa" w:w="2800"/>
          </w:tcPr>
          <w:p>
            <w:pPr>
              <w:spacing w:after="0"/>
            </w:pPr>
            <w:r/>
            <w:r>
              <w:rPr>
                <w:sz w:val="17"/>
              </w:rPr>
              <w:t>Envíos con ticket en el nombre</w:t>
            </w:r>
          </w:p>
        </w:tc>
        <w:tc>
          <w:tcPr>
            <w:tcW w:type="dxa" w:w="2228"/>
          </w:tcPr>
          <w:p>
            <w:pPr>
              <w:spacing w:after="0"/>
            </w:pPr>
            <w:r/>
            <w:r>
              <w:rPr>
                <w:sz w:val="17"/>
              </w:rPr>
              <w:t>87.4 %</w:t>
            </w:r>
          </w:p>
        </w:tc>
        <w:tc>
          <w:tcPr>
            <w:tcW w:type="dxa" w:w="791"/>
          </w:tcPr>
          <w:p>
            <w:pPr>
              <w:spacing w:after="0"/>
            </w:pPr>
            <w:r/>
            <w:r>
              <w:rPr>
                <w:sz w:val="17"/>
              </w:rPr>
              <w:t>100 %</w:t>
            </w:r>
          </w:p>
        </w:tc>
        <w:tc>
          <w:tcPr>
            <w:tcW w:type="dxa" w:w="3819"/>
          </w:tcPr>
          <w:p>
            <w:pPr>
              <w:spacing w:after="0"/>
            </w:pPr>
            <w:r/>
            <w:r>
              <w:rPr>
                <w:sz w:val="17"/>
              </w:rPr>
              <w:t>Debajo (Others 48.7 %)</w:t>
            </w:r>
          </w:p>
        </w:tc>
      </w:tr>
    </w:tbl>
    <w:p>
      <w:pPr>
        <w:spacing w:after="40"/>
      </w:pPr>
    </w:p>
    <w:p>
      <w:pPr>
        <w:spacing w:after="120"/>
      </w:pPr>
      <w:r>
        <w:t>Qué funciona: in-app (38 % de clic) y WhatsApp cuando se entrega (69 % de lectura). Recordar algo que el usuario empezó. Dos toques en vez de uno. Audiencias de 10 a 100 mil con un criterio claro.</w:t>
      </w:r>
    </w:p>
    <w:p>
      <w:pPr>
        <w:spacing w:after="120"/>
      </w:pPr>
      <w:r>
        <w:t>Qué no funciona: email masivo a prospectos (0.27 % de clic en 167 M envíos), push a bases frías (0.77 %), WhatsApp a bases frías (un tercio sin entrega), envíos a toda la base, tres o más toques, dos equipos sobre la misma audiencia el mismo día.</w:t>
      </w:r>
    </w:p>
    <w:p>
      <w:pPr>
        <w:spacing w:after="120"/>
      </w:pPr>
      <w:r>
        <w:t>Regla general: antes de agregar un mensaje, quitar uno. El 59 % de lo que se manda va a un canal al que el usuario no responde y el 73 % de los usuarios nunca respondió a nada. La eficiencia de Braze en Kueski no está en mandar mejor, está en mandar menos y a quien sí.</w:t>
      </w:r>
    </w:p>
    <w:p>
      <w:pPr>
        <w:pStyle w:val="Heading2"/>
      </w:pPr>
      <w:r>
        <w:t>C2. Por equipo</w:t>
      </w:r>
    </w:p>
    <w:p>
      <w:pPr>
        <w:spacing w:after="120"/>
      </w:pPr>
      <w:r>
        <w:t>Cifras del periodo (Vista_equipo con el equipo en B2; Equipos):</w:t>
      </w:r>
    </w:p>
    <w:tbl>
      <w:tblPr>
        <w:tblStyle w:val="TableGrid"/>
        <w:tblW w:type="auto" w:w="0"/>
        <w:jc w:val="center"/>
        <w:tblLayout w:type="fixed"/>
        <w:tblLook w:firstColumn="1" w:firstRow="1" w:lastColumn="0" w:lastRow="0" w:noHBand="0" w:noVBand="1" w:val="04A0"/>
      </w:tblPr>
      <w:tblGrid>
        <w:gridCol w:w="712"/>
        <w:gridCol w:w="712"/>
        <w:gridCol w:w="712"/>
        <w:gridCol w:w="712"/>
        <w:gridCol w:w="712"/>
        <w:gridCol w:w="712"/>
        <w:gridCol w:w="712"/>
        <w:gridCol w:w="712"/>
        <w:gridCol w:w="712"/>
        <w:gridCol w:w="712"/>
        <w:gridCol w:w="712"/>
        <w:gridCol w:w="712"/>
        <w:gridCol w:w="712"/>
        <w:gridCol w:w="712"/>
      </w:tblGrid>
      <w:tr>
        <w:tc>
          <w:tcPr>
            <w:tcW w:type="dxa" w:w="1144"/>
            <w:shd w:val="clear" w:color="auto" w:fill="E8EEF4"/>
          </w:tcPr>
          <w:p>
            <w:pPr>
              <w:spacing w:after="0"/>
            </w:pPr>
            <w:r>
              <w:rPr>
                <w:b/>
              </w:rPr>
            </w:r>
            <w:r>
              <w:rPr>
                <w:b/>
                <w:sz w:val="15"/>
              </w:rPr>
              <w:t>Equipo</w:t>
            </w:r>
          </w:p>
        </w:tc>
        <w:tc>
          <w:tcPr>
            <w:tcW w:type="dxa" w:w="620"/>
            <w:shd w:val="clear" w:color="auto" w:fill="E8EEF4"/>
          </w:tcPr>
          <w:p>
            <w:pPr>
              <w:spacing w:after="0"/>
            </w:pPr>
            <w:r>
              <w:rPr>
                <w:b/>
              </w:rPr>
            </w:r>
            <w:r>
              <w:rPr>
                <w:b/>
                <w:sz w:val="15"/>
              </w:rPr>
              <w:t>Familias</w:t>
            </w:r>
          </w:p>
        </w:tc>
        <w:tc>
          <w:tcPr>
            <w:tcW w:type="dxa" w:w="620"/>
            <w:shd w:val="clear" w:color="auto" w:fill="E8EEF4"/>
          </w:tcPr>
          <w:p>
            <w:pPr>
              <w:spacing w:after="0"/>
            </w:pPr>
            <w:r>
              <w:rPr>
                <w:b/>
              </w:rPr>
            </w:r>
            <w:r>
              <w:rPr>
                <w:b/>
                <w:sz w:val="15"/>
              </w:rPr>
              <w:t>Envíos</w:t>
            </w:r>
          </w:p>
        </w:tc>
        <w:tc>
          <w:tcPr>
            <w:tcW w:type="dxa" w:w="620"/>
            <w:shd w:val="clear" w:color="auto" w:fill="E8EEF4"/>
          </w:tcPr>
          <w:p>
            <w:pPr>
              <w:spacing w:after="0"/>
            </w:pPr>
            <w:r>
              <w:rPr>
                <w:b/>
              </w:rPr>
            </w:r>
            <w:r>
              <w:rPr>
                <w:b/>
                <w:sz w:val="15"/>
              </w:rPr>
              <w:t>% envíos</w:t>
            </w:r>
          </w:p>
        </w:tc>
        <w:tc>
          <w:tcPr>
            <w:tcW w:type="dxa" w:w="620"/>
            <w:shd w:val="clear" w:color="auto" w:fill="E8EEF4"/>
          </w:tcPr>
          <w:p>
            <w:pPr>
              <w:spacing w:after="0"/>
            </w:pPr>
            <w:r>
              <w:rPr>
                <w:b/>
              </w:rPr>
            </w:r>
            <w:r>
              <w:rPr>
                <w:b/>
                <w:sz w:val="15"/>
              </w:rPr>
              <w:t>Costo MXN</w:t>
            </w:r>
          </w:p>
        </w:tc>
        <w:tc>
          <w:tcPr>
            <w:tcW w:type="dxa" w:w="620"/>
            <w:shd w:val="clear" w:color="auto" w:fill="E8EEF4"/>
          </w:tcPr>
          <w:p>
            <w:pPr>
              <w:spacing w:after="0"/>
            </w:pPr>
            <w:r>
              <w:rPr>
                <w:b/>
              </w:rPr>
            </w:r>
            <w:r>
              <w:rPr>
                <w:b/>
                <w:sz w:val="15"/>
              </w:rPr>
              <w:t>% costo</w:t>
            </w:r>
          </w:p>
        </w:tc>
        <w:tc>
          <w:tcPr>
            <w:tcW w:type="dxa" w:w="620"/>
            <w:shd w:val="clear" w:color="auto" w:fill="E8EEF4"/>
          </w:tcPr>
          <w:p>
            <w:pPr>
              <w:spacing w:after="0"/>
            </w:pPr>
            <w:r>
              <w:rPr>
                <w:b/>
              </w:rPr>
            </w:r>
            <w:r>
              <w:rPr>
                <w:b/>
                <w:sz w:val="15"/>
              </w:rPr>
              <w:t>Email clic</w:t>
            </w:r>
          </w:p>
        </w:tc>
        <w:tc>
          <w:tcPr>
            <w:tcW w:type="dxa" w:w="620"/>
            <w:shd w:val="clear" w:color="auto" w:fill="E8EEF4"/>
          </w:tcPr>
          <w:p>
            <w:pPr>
              <w:spacing w:after="0"/>
            </w:pPr>
            <w:r>
              <w:rPr>
                <w:b/>
              </w:rPr>
            </w:r>
            <w:r>
              <w:rPr>
                <w:b/>
                <w:sz w:val="15"/>
              </w:rPr>
              <w:t>Bajas por mil</w:t>
            </w:r>
          </w:p>
        </w:tc>
        <w:tc>
          <w:tcPr>
            <w:tcW w:type="dxa" w:w="620"/>
            <w:shd w:val="clear" w:color="auto" w:fill="E8EEF4"/>
          </w:tcPr>
          <w:p>
            <w:pPr>
              <w:spacing w:after="0"/>
            </w:pPr>
            <w:r>
              <w:rPr>
                <w:b/>
              </w:rPr>
            </w:r>
            <w:r>
              <w:rPr>
                <w:b/>
                <w:sz w:val="15"/>
              </w:rPr>
              <w:t>Push apertura</w:t>
            </w:r>
          </w:p>
        </w:tc>
        <w:tc>
          <w:tcPr>
            <w:tcW w:type="dxa" w:w="620"/>
            <w:shd w:val="clear" w:color="auto" w:fill="E8EEF4"/>
          </w:tcPr>
          <w:p>
            <w:pPr>
              <w:spacing w:after="0"/>
            </w:pPr>
            <w:r>
              <w:rPr>
                <w:b/>
              </w:rPr>
            </w:r>
            <w:r>
              <w:rPr>
                <w:b/>
                <w:sz w:val="15"/>
              </w:rPr>
              <w:t>WA entrega</w:t>
            </w:r>
          </w:p>
        </w:tc>
        <w:tc>
          <w:tcPr>
            <w:tcW w:type="dxa" w:w="620"/>
            <w:shd w:val="clear" w:color="auto" w:fill="E8EEF4"/>
          </w:tcPr>
          <w:p>
            <w:pPr>
              <w:spacing w:after="0"/>
            </w:pPr>
            <w:r>
              <w:rPr>
                <w:b/>
              </w:rPr>
            </w:r>
            <w:r>
              <w:rPr>
                <w:b/>
                <w:sz w:val="15"/>
              </w:rPr>
              <w:t>WA lectura</w:t>
            </w:r>
          </w:p>
        </w:tc>
        <w:tc>
          <w:tcPr>
            <w:tcW w:type="dxa" w:w="620"/>
            <w:shd w:val="clear" w:color="auto" w:fill="E8EEF4"/>
          </w:tcPr>
          <w:p>
            <w:pPr>
              <w:spacing w:after="0"/>
            </w:pPr>
            <w:r>
              <w:rPr>
                <w:b/>
              </w:rPr>
            </w:r>
            <w:r>
              <w:rPr>
                <w:b/>
                <w:sz w:val="15"/>
              </w:rPr>
              <w:t>In-app clic</w:t>
            </w:r>
          </w:p>
        </w:tc>
        <w:tc>
          <w:tcPr>
            <w:tcW w:type="dxa" w:w="620"/>
            <w:shd w:val="clear" w:color="auto" w:fill="E8EEF4"/>
          </w:tcPr>
          <w:p>
            <w:pPr>
              <w:spacing w:after="0"/>
            </w:pPr>
            <w:r>
              <w:rPr>
                <w:b/>
              </w:rPr>
            </w:r>
            <w:r>
              <w:rPr>
                <w:b/>
                <w:sz w:val="15"/>
              </w:rPr>
              <w:t>Toques</w:t>
            </w:r>
          </w:p>
        </w:tc>
        <w:tc>
          <w:tcPr>
            <w:tcW w:type="dxa" w:w="1049"/>
            <w:shd w:val="clear" w:color="auto" w:fill="E8EEF4"/>
          </w:tcPr>
          <w:p>
            <w:pPr>
              <w:spacing w:after="0"/>
            </w:pPr>
            <w:r>
              <w:rPr>
                <w:b/>
              </w:rPr>
            </w:r>
            <w:r>
              <w:rPr>
                <w:b/>
                <w:sz w:val="15"/>
              </w:rPr>
              <w:t>Ahorro estimado al mes</w:t>
            </w:r>
          </w:p>
        </w:tc>
      </w:tr>
      <w:tr>
        <w:tc>
          <w:tcPr>
            <w:tcW w:type="dxa" w:w="1144"/>
          </w:tcPr>
          <w:p>
            <w:pPr>
              <w:spacing w:after="0"/>
            </w:pPr>
            <w:r/>
            <w:r>
              <w:rPr>
                <w:sz w:val="15"/>
              </w:rPr>
              <w:t>Marketing</w:t>
            </w:r>
          </w:p>
        </w:tc>
        <w:tc>
          <w:tcPr>
            <w:tcW w:type="dxa" w:w="620"/>
          </w:tcPr>
          <w:p>
            <w:pPr>
              <w:spacing w:after="0"/>
            </w:pPr>
            <w:r/>
            <w:r>
              <w:rPr>
                <w:sz w:val="15"/>
              </w:rPr>
              <w:t>368</w:t>
            </w:r>
          </w:p>
        </w:tc>
        <w:tc>
          <w:tcPr>
            <w:tcW w:type="dxa" w:w="620"/>
          </w:tcPr>
          <w:p>
            <w:pPr>
              <w:spacing w:after="0"/>
            </w:pPr>
            <w:r/>
            <w:r>
              <w:rPr>
                <w:sz w:val="15"/>
              </w:rPr>
              <w:t>262.3 M</w:t>
            </w:r>
          </w:p>
        </w:tc>
        <w:tc>
          <w:tcPr>
            <w:tcW w:type="dxa" w:w="620"/>
          </w:tcPr>
          <w:p>
            <w:pPr>
              <w:spacing w:after="0"/>
            </w:pPr>
            <w:r/>
            <w:r>
              <w:rPr>
                <w:sz w:val="15"/>
              </w:rPr>
              <w:t>39.3 %</w:t>
            </w:r>
          </w:p>
        </w:tc>
        <w:tc>
          <w:tcPr>
            <w:tcW w:type="dxa" w:w="620"/>
          </w:tcPr>
          <w:p>
            <w:pPr>
              <w:spacing w:after="0"/>
            </w:pPr>
            <w:r/>
            <w:r>
              <w:rPr>
                <w:sz w:val="15"/>
              </w:rPr>
              <w:t>27.2 M</w:t>
            </w:r>
          </w:p>
        </w:tc>
        <w:tc>
          <w:tcPr>
            <w:tcW w:type="dxa" w:w="620"/>
          </w:tcPr>
          <w:p>
            <w:pPr>
              <w:spacing w:after="0"/>
            </w:pPr>
            <w:r/>
            <w:r>
              <w:rPr>
                <w:sz w:val="15"/>
              </w:rPr>
              <w:t>47.2 %</w:t>
            </w:r>
          </w:p>
        </w:tc>
        <w:tc>
          <w:tcPr>
            <w:tcW w:type="dxa" w:w="620"/>
          </w:tcPr>
          <w:p>
            <w:pPr>
              <w:spacing w:after="0"/>
            </w:pPr>
            <w:r/>
            <w:r>
              <w:rPr>
                <w:sz w:val="15"/>
              </w:rPr>
              <w:t>0.93 %</w:t>
            </w:r>
          </w:p>
        </w:tc>
        <w:tc>
          <w:tcPr>
            <w:tcW w:type="dxa" w:w="620"/>
          </w:tcPr>
          <w:p>
            <w:pPr>
              <w:spacing w:after="0"/>
            </w:pPr>
            <w:r/>
            <w:r>
              <w:rPr>
                <w:sz w:val="15"/>
              </w:rPr>
              <w:t>4.95</w:t>
            </w:r>
          </w:p>
        </w:tc>
        <w:tc>
          <w:tcPr>
            <w:tcW w:type="dxa" w:w="620"/>
          </w:tcPr>
          <w:p>
            <w:pPr>
              <w:spacing w:after="0"/>
            </w:pPr>
            <w:r/>
            <w:r>
              <w:rPr>
                <w:sz w:val="15"/>
              </w:rPr>
              <w:t>1.09 %</w:t>
            </w:r>
          </w:p>
        </w:tc>
        <w:tc>
          <w:tcPr>
            <w:tcW w:type="dxa" w:w="620"/>
          </w:tcPr>
          <w:p>
            <w:pPr>
              <w:spacing w:after="0"/>
            </w:pPr>
            <w:r/>
            <w:r>
              <w:rPr>
                <w:sz w:val="15"/>
              </w:rPr>
              <w:t>74.2 %</w:t>
            </w:r>
          </w:p>
        </w:tc>
        <w:tc>
          <w:tcPr>
            <w:tcW w:type="dxa" w:w="620"/>
          </w:tcPr>
          <w:p>
            <w:pPr>
              <w:spacing w:after="0"/>
            </w:pPr>
            <w:r/>
            <w:r>
              <w:rPr>
                <w:sz w:val="15"/>
              </w:rPr>
              <w:t>70.6 %</w:t>
            </w:r>
          </w:p>
        </w:tc>
        <w:tc>
          <w:tcPr>
            <w:tcW w:type="dxa" w:w="620"/>
          </w:tcPr>
          <w:p>
            <w:pPr>
              <w:spacing w:after="0"/>
            </w:pPr>
            <w:r/>
            <w:r>
              <w:rPr>
                <w:sz w:val="15"/>
              </w:rPr>
              <w:t>34.3 %</w:t>
            </w:r>
          </w:p>
        </w:tc>
        <w:tc>
          <w:tcPr>
            <w:tcW w:type="dxa" w:w="620"/>
          </w:tcPr>
          <w:p>
            <w:pPr>
              <w:spacing w:after="0"/>
            </w:pPr>
            <w:r/>
            <w:r>
              <w:rPr>
                <w:sz w:val="15"/>
              </w:rPr>
              <w:t>1.77</w:t>
            </w:r>
          </w:p>
        </w:tc>
        <w:tc>
          <w:tcPr>
            <w:tcW w:type="dxa" w:w="1049"/>
          </w:tcPr>
          <w:p>
            <w:pPr>
              <w:spacing w:after="0"/>
            </w:pPr>
            <w:r/>
            <w:r>
              <w:rPr>
                <w:sz w:val="15"/>
              </w:rPr>
              <w:t>160,647</w:t>
            </w:r>
          </w:p>
        </w:tc>
      </w:tr>
      <w:tr>
        <w:tc>
          <w:tcPr>
            <w:tcW w:type="dxa" w:w="1144"/>
          </w:tcPr>
          <w:p>
            <w:pPr>
              <w:spacing w:after="0"/>
            </w:pPr>
            <w:r/>
            <w:r>
              <w:rPr>
                <w:sz w:val="15"/>
              </w:rPr>
              <w:t>Product Growth (Lending)</w:t>
            </w:r>
          </w:p>
        </w:tc>
        <w:tc>
          <w:tcPr>
            <w:tcW w:type="dxa" w:w="620"/>
          </w:tcPr>
          <w:p>
            <w:pPr>
              <w:spacing w:after="0"/>
            </w:pPr>
            <w:r/>
            <w:r>
              <w:rPr>
                <w:sz w:val="15"/>
              </w:rPr>
              <w:t>184</w:t>
            </w:r>
          </w:p>
        </w:tc>
        <w:tc>
          <w:tcPr>
            <w:tcW w:type="dxa" w:w="620"/>
          </w:tcPr>
          <w:p>
            <w:pPr>
              <w:spacing w:after="0"/>
            </w:pPr>
            <w:r/>
            <w:r>
              <w:rPr>
                <w:sz w:val="15"/>
              </w:rPr>
              <w:t>177.2 M</w:t>
            </w:r>
          </w:p>
        </w:tc>
        <w:tc>
          <w:tcPr>
            <w:tcW w:type="dxa" w:w="620"/>
          </w:tcPr>
          <w:p>
            <w:pPr>
              <w:spacing w:after="0"/>
            </w:pPr>
            <w:r/>
            <w:r>
              <w:rPr>
                <w:sz w:val="15"/>
              </w:rPr>
              <w:t>26.5 %</w:t>
            </w:r>
          </w:p>
        </w:tc>
        <w:tc>
          <w:tcPr>
            <w:tcW w:type="dxa" w:w="620"/>
          </w:tcPr>
          <w:p>
            <w:pPr>
              <w:spacing w:after="0"/>
            </w:pPr>
            <w:r/>
            <w:r>
              <w:rPr>
                <w:sz w:val="15"/>
              </w:rPr>
              <w:t>17.3 M</w:t>
            </w:r>
          </w:p>
        </w:tc>
        <w:tc>
          <w:tcPr>
            <w:tcW w:type="dxa" w:w="620"/>
          </w:tcPr>
          <w:p>
            <w:pPr>
              <w:spacing w:after="0"/>
            </w:pPr>
            <w:r/>
            <w:r>
              <w:rPr>
                <w:sz w:val="15"/>
              </w:rPr>
              <w:t>29.9 %</w:t>
            </w:r>
          </w:p>
        </w:tc>
        <w:tc>
          <w:tcPr>
            <w:tcW w:type="dxa" w:w="620"/>
          </w:tcPr>
          <w:p>
            <w:pPr>
              <w:spacing w:after="0"/>
            </w:pPr>
            <w:r/>
            <w:r>
              <w:rPr>
                <w:sz w:val="15"/>
              </w:rPr>
              <w:t>0.45 %</w:t>
            </w:r>
          </w:p>
        </w:tc>
        <w:tc>
          <w:tcPr>
            <w:tcW w:type="dxa" w:w="620"/>
          </w:tcPr>
          <w:p>
            <w:pPr>
              <w:spacing w:after="0"/>
            </w:pPr>
            <w:r/>
            <w:r>
              <w:rPr>
                <w:sz w:val="15"/>
              </w:rPr>
              <w:t>3.02</w:t>
            </w:r>
          </w:p>
        </w:tc>
        <w:tc>
          <w:tcPr>
            <w:tcW w:type="dxa" w:w="620"/>
          </w:tcPr>
          <w:p>
            <w:pPr>
              <w:spacing w:after="0"/>
            </w:pPr>
            <w:r/>
            <w:r>
              <w:rPr>
                <w:sz w:val="15"/>
              </w:rPr>
              <w:t>2.10 %</w:t>
            </w:r>
          </w:p>
        </w:tc>
        <w:tc>
          <w:tcPr>
            <w:tcW w:type="dxa" w:w="620"/>
          </w:tcPr>
          <w:p>
            <w:pPr>
              <w:spacing w:after="0"/>
            </w:pPr>
            <w:r/>
            <w:r>
              <w:rPr>
                <w:sz w:val="15"/>
              </w:rPr>
              <w:t>71.9 %</w:t>
            </w:r>
          </w:p>
        </w:tc>
        <w:tc>
          <w:tcPr>
            <w:tcW w:type="dxa" w:w="620"/>
          </w:tcPr>
          <w:p>
            <w:pPr>
              <w:spacing w:after="0"/>
            </w:pPr>
            <w:r/>
            <w:r>
              <w:rPr>
                <w:sz w:val="15"/>
              </w:rPr>
              <w:t>60.5 %</w:t>
            </w:r>
          </w:p>
        </w:tc>
        <w:tc>
          <w:tcPr>
            <w:tcW w:type="dxa" w:w="620"/>
          </w:tcPr>
          <w:p>
            <w:pPr>
              <w:spacing w:after="0"/>
            </w:pPr>
            <w:r/>
            <w:r>
              <w:rPr>
                <w:sz w:val="15"/>
              </w:rPr>
              <w:t>46.3 %</w:t>
            </w:r>
          </w:p>
        </w:tc>
        <w:tc>
          <w:tcPr>
            <w:tcW w:type="dxa" w:w="620"/>
          </w:tcPr>
          <w:p>
            <w:pPr>
              <w:spacing w:after="0"/>
            </w:pPr>
            <w:r/>
            <w:r>
              <w:rPr>
                <w:sz w:val="15"/>
              </w:rPr>
              <w:t>1.86</w:t>
            </w:r>
          </w:p>
        </w:tc>
        <w:tc>
          <w:tcPr>
            <w:tcW w:type="dxa" w:w="1049"/>
          </w:tcPr>
          <w:p>
            <w:pPr>
              <w:spacing w:after="0"/>
            </w:pPr>
            <w:r/>
            <w:r>
              <w:rPr>
                <w:sz w:val="15"/>
              </w:rPr>
              <w:t>1,296,806</w:t>
            </w:r>
          </w:p>
        </w:tc>
      </w:tr>
      <w:tr>
        <w:tc>
          <w:tcPr>
            <w:tcW w:type="dxa" w:w="1144"/>
          </w:tcPr>
          <w:p>
            <w:pPr>
              <w:spacing w:after="0"/>
            </w:pPr>
            <w:r/>
            <w:r>
              <w:rPr>
                <w:sz w:val="15"/>
              </w:rPr>
              <w:t>Sales</w:t>
            </w:r>
          </w:p>
        </w:tc>
        <w:tc>
          <w:tcPr>
            <w:tcW w:type="dxa" w:w="620"/>
          </w:tcPr>
          <w:p>
            <w:pPr>
              <w:spacing w:after="0"/>
            </w:pPr>
            <w:r/>
            <w:r>
              <w:rPr>
                <w:sz w:val="15"/>
              </w:rPr>
              <w:t>205</w:t>
            </w:r>
          </w:p>
        </w:tc>
        <w:tc>
          <w:tcPr>
            <w:tcW w:type="dxa" w:w="620"/>
          </w:tcPr>
          <w:p>
            <w:pPr>
              <w:spacing w:after="0"/>
            </w:pPr>
            <w:r/>
            <w:r>
              <w:rPr>
                <w:sz w:val="15"/>
              </w:rPr>
              <w:t>85.3 M</w:t>
            </w:r>
          </w:p>
        </w:tc>
        <w:tc>
          <w:tcPr>
            <w:tcW w:type="dxa" w:w="620"/>
          </w:tcPr>
          <w:p>
            <w:pPr>
              <w:spacing w:after="0"/>
            </w:pPr>
            <w:r/>
            <w:r>
              <w:rPr>
                <w:sz w:val="15"/>
              </w:rPr>
              <w:t>12.8 %</w:t>
            </w:r>
          </w:p>
        </w:tc>
        <w:tc>
          <w:tcPr>
            <w:tcW w:type="dxa" w:w="620"/>
          </w:tcPr>
          <w:p>
            <w:pPr>
              <w:spacing w:after="0"/>
            </w:pPr>
            <w:r/>
            <w:r>
              <w:rPr>
                <w:sz w:val="15"/>
              </w:rPr>
              <w:t>7.1 M</w:t>
            </w:r>
          </w:p>
        </w:tc>
        <w:tc>
          <w:tcPr>
            <w:tcW w:type="dxa" w:w="620"/>
          </w:tcPr>
          <w:p>
            <w:pPr>
              <w:spacing w:after="0"/>
            </w:pPr>
            <w:r/>
            <w:r>
              <w:rPr>
                <w:sz w:val="15"/>
              </w:rPr>
              <w:t>12.3 %</w:t>
            </w:r>
          </w:p>
        </w:tc>
        <w:tc>
          <w:tcPr>
            <w:tcW w:type="dxa" w:w="620"/>
          </w:tcPr>
          <w:p>
            <w:pPr>
              <w:spacing w:after="0"/>
            </w:pPr>
            <w:r/>
            <w:r>
              <w:rPr>
                <w:sz w:val="15"/>
              </w:rPr>
              <w:t>0.21 %</w:t>
            </w:r>
          </w:p>
        </w:tc>
        <w:tc>
          <w:tcPr>
            <w:tcW w:type="dxa" w:w="620"/>
          </w:tcPr>
          <w:p>
            <w:pPr>
              <w:spacing w:after="0"/>
            </w:pPr>
            <w:r/>
            <w:r>
              <w:rPr>
                <w:sz w:val="15"/>
              </w:rPr>
              <w:t>3.71</w:t>
            </w:r>
          </w:p>
        </w:tc>
        <w:tc>
          <w:tcPr>
            <w:tcW w:type="dxa" w:w="620"/>
          </w:tcPr>
          <w:p>
            <w:pPr>
              <w:spacing w:after="0"/>
            </w:pPr>
            <w:r/>
            <w:r>
              <w:rPr>
                <w:sz w:val="15"/>
              </w:rPr>
              <w:t>1.23 %</w:t>
            </w:r>
          </w:p>
        </w:tc>
        <w:tc>
          <w:tcPr>
            <w:tcW w:type="dxa" w:w="620"/>
          </w:tcPr>
          <w:p>
            <w:pPr>
              <w:spacing w:after="0"/>
            </w:pPr>
            <w:r/>
            <w:r>
              <w:rPr>
                <w:sz w:val="15"/>
              </w:rPr>
              <w:t>79.9 %</w:t>
            </w:r>
          </w:p>
        </w:tc>
        <w:tc>
          <w:tcPr>
            <w:tcW w:type="dxa" w:w="620"/>
          </w:tcPr>
          <w:p>
            <w:pPr>
              <w:spacing w:after="0"/>
            </w:pPr>
            <w:r/>
            <w:r>
              <w:rPr>
                <w:sz w:val="15"/>
              </w:rPr>
              <w:t>77.7 %</w:t>
            </w:r>
          </w:p>
        </w:tc>
        <w:tc>
          <w:tcPr>
            <w:tcW w:type="dxa" w:w="620"/>
          </w:tcPr>
          <w:p>
            <w:pPr>
              <w:spacing w:after="0"/>
            </w:pPr>
            <w:r/>
            <w:r>
              <w:rPr>
                <w:sz w:val="15"/>
              </w:rPr>
              <w:t>8.1 %</w:t>
            </w:r>
          </w:p>
        </w:tc>
        <w:tc>
          <w:tcPr>
            <w:tcW w:type="dxa" w:w="620"/>
          </w:tcPr>
          <w:p>
            <w:pPr>
              <w:spacing w:after="0"/>
            </w:pPr>
            <w:r/>
            <w:r>
              <w:rPr>
                <w:sz w:val="15"/>
              </w:rPr>
              <w:t>1.34</w:t>
            </w:r>
          </w:p>
        </w:tc>
        <w:tc>
          <w:tcPr>
            <w:tcW w:type="dxa" w:w="1049"/>
          </w:tcPr>
          <w:p>
            <w:pPr>
              <w:spacing w:after="0"/>
            </w:pPr>
            <w:r/>
            <w:r>
              <w:rPr>
                <w:sz w:val="15"/>
              </w:rPr>
              <w:t>102,271</w:t>
            </w:r>
          </w:p>
        </w:tc>
      </w:tr>
      <w:tr>
        <w:tc>
          <w:tcPr>
            <w:tcW w:type="dxa" w:w="1144"/>
          </w:tcPr>
          <w:p>
            <w:pPr>
              <w:spacing w:after="0"/>
            </w:pPr>
            <w:r/>
            <w:r>
              <w:rPr>
                <w:sz w:val="15"/>
              </w:rPr>
              <w:t>Collections</w:t>
            </w:r>
          </w:p>
        </w:tc>
        <w:tc>
          <w:tcPr>
            <w:tcW w:type="dxa" w:w="620"/>
          </w:tcPr>
          <w:p>
            <w:pPr>
              <w:spacing w:after="0"/>
            </w:pPr>
            <w:r/>
            <w:r>
              <w:rPr>
                <w:sz w:val="15"/>
              </w:rPr>
              <w:t>23</w:t>
            </w:r>
          </w:p>
        </w:tc>
        <w:tc>
          <w:tcPr>
            <w:tcW w:type="dxa" w:w="620"/>
          </w:tcPr>
          <w:p>
            <w:pPr>
              <w:spacing w:after="0"/>
            </w:pPr>
            <w:r/>
            <w:r>
              <w:rPr>
                <w:sz w:val="15"/>
              </w:rPr>
              <w:t>44.7 M</w:t>
            </w:r>
          </w:p>
        </w:tc>
        <w:tc>
          <w:tcPr>
            <w:tcW w:type="dxa" w:w="620"/>
          </w:tcPr>
          <w:p>
            <w:pPr>
              <w:spacing w:after="0"/>
            </w:pPr>
            <w:r/>
            <w:r>
              <w:rPr>
                <w:sz w:val="15"/>
              </w:rPr>
              <w:t>6.7 %</w:t>
            </w:r>
          </w:p>
        </w:tc>
        <w:tc>
          <w:tcPr>
            <w:tcW w:type="dxa" w:w="620"/>
          </w:tcPr>
          <w:p>
            <w:pPr>
              <w:spacing w:after="0"/>
            </w:pPr>
            <w:r/>
            <w:r>
              <w:rPr>
                <w:sz w:val="15"/>
              </w:rPr>
              <w:t>1.6 M</w:t>
            </w:r>
          </w:p>
        </w:tc>
        <w:tc>
          <w:tcPr>
            <w:tcW w:type="dxa" w:w="620"/>
          </w:tcPr>
          <w:p>
            <w:pPr>
              <w:spacing w:after="0"/>
            </w:pPr>
            <w:r/>
            <w:r>
              <w:rPr>
                <w:sz w:val="15"/>
              </w:rPr>
              <w:t>2.8 %</w:t>
            </w:r>
          </w:p>
        </w:tc>
        <w:tc>
          <w:tcPr>
            <w:tcW w:type="dxa" w:w="620"/>
          </w:tcPr>
          <w:p>
            <w:pPr>
              <w:spacing w:after="0"/>
            </w:pPr>
            <w:r/>
            <w:r>
              <w:rPr>
                <w:sz w:val="15"/>
              </w:rPr>
              <w:t>1.09 %</w:t>
            </w:r>
          </w:p>
        </w:tc>
        <w:tc>
          <w:tcPr>
            <w:tcW w:type="dxa" w:w="620"/>
          </w:tcPr>
          <w:p>
            <w:pPr>
              <w:spacing w:after="0"/>
            </w:pPr>
            <w:r/>
            <w:r>
              <w:rPr>
                <w:sz w:val="15"/>
              </w:rPr>
              <w:t>0.25</w:t>
            </w:r>
          </w:p>
        </w:tc>
        <w:tc>
          <w:tcPr>
            <w:tcW w:type="dxa" w:w="620"/>
          </w:tcPr>
          <w:p>
            <w:pPr>
              <w:spacing w:after="0"/>
            </w:pPr>
            <w:r/>
            <w:r>
              <w:rPr>
                <w:sz w:val="15"/>
              </w:rPr>
              <w:t>3.61 %</w:t>
            </w:r>
          </w:p>
        </w:tc>
        <w:tc>
          <w:tcPr>
            <w:tcW w:type="dxa" w:w="620"/>
          </w:tcPr>
          <w:p>
            <w:pPr>
              <w:spacing w:after="0"/>
            </w:pPr>
            <w:r/>
          </w:p>
        </w:tc>
        <w:tc>
          <w:tcPr>
            <w:tcW w:type="dxa" w:w="620"/>
          </w:tcPr>
          <w:p>
            <w:pPr>
              <w:spacing w:after="0"/>
            </w:pPr>
            <w:r/>
          </w:p>
        </w:tc>
        <w:tc>
          <w:tcPr>
            <w:tcW w:type="dxa" w:w="620"/>
          </w:tcPr>
          <w:p>
            <w:pPr>
              <w:spacing w:after="0"/>
            </w:pPr>
            <w:r/>
            <w:r>
              <w:rPr>
                <w:sz w:val="15"/>
              </w:rPr>
              <w:t>13.4 %</w:t>
            </w:r>
          </w:p>
        </w:tc>
        <w:tc>
          <w:tcPr>
            <w:tcW w:type="dxa" w:w="620"/>
          </w:tcPr>
          <w:p>
            <w:pPr>
              <w:spacing w:after="0"/>
            </w:pPr>
            <w:r/>
            <w:r>
              <w:rPr>
                <w:sz w:val="15"/>
              </w:rPr>
              <w:t>3.86</w:t>
            </w:r>
          </w:p>
        </w:tc>
        <w:tc>
          <w:tcPr>
            <w:tcW w:type="dxa" w:w="1049"/>
          </w:tcPr>
          <w:p>
            <w:pPr>
              <w:spacing w:after="0"/>
            </w:pPr>
            <w:r/>
            <w:r>
              <w:rPr>
                <w:sz w:val="15"/>
              </w:rPr>
              <w:t>0 (no se toca)</w:t>
            </w:r>
          </w:p>
        </w:tc>
      </w:tr>
      <w:tr>
        <w:tc>
          <w:tcPr>
            <w:tcW w:type="dxa" w:w="1144"/>
          </w:tcPr>
          <w:p>
            <w:pPr>
              <w:spacing w:after="0"/>
            </w:pPr>
            <w:r/>
            <w:r>
              <w:rPr>
                <w:sz w:val="15"/>
              </w:rPr>
              <w:t>Others (*)</w:t>
            </w:r>
          </w:p>
        </w:tc>
        <w:tc>
          <w:tcPr>
            <w:tcW w:type="dxa" w:w="620"/>
          </w:tcPr>
          <w:p>
            <w:pPr>
              <w:spacing w:after="0"/>
            </w:pPr>
            <w:r/>
            <w:r>
              <w:rPr>
                <w:sz w:val="15"/>
              </w:rPr>
              <w:t>283</w:t>
            </w:r>
          </w:p>
        </w:tc>
        <w:tc>
          <w:tcPr>
            <w:tcW w:type="dxa" w:w="620"/>
          </w:tcPr>
          <w:p>
            <w:pPr>
              <w:spacing w:after="0"/>
            </w:pPr>
            <w:r/>
            <w:r>
              <w:rPr>
                <w:sz w:val="15"/>
              </w:rPr>
              <w:t>98.0 M</w:t>
            </w:r>
          </w:p>
        </w:tc>
        <w:tc>
          <w:tcPr>
            <w:tcW w:type="dxa" w:w="620"/>
          </w:tcPr>
          <w:p>
            <w:pPr>
              <w:spacing w:after="0"/>
            </w:pPr>
            <w:r/>
            <w:r>
              <w:rPr>
                <w:sz w:val="15"/>
              </w:rPr>
              <w:t>14.7 %</w:t>
            </w:r>
          </w:p>
        </w:tc>
        <w:tc>
          <w:tcPr>
            <w:tcW w:type="dxa" w:w="620"/>
          </w:tcPr>
          <w:p>
            <w:pPr>
              <w:spacing w:after="0"/>
            </w:pPr>
            <w:r/>
            <w:r>
              <w:rPr>
                <w:sz w:val="15"/>
              </w:rPr>
              <w:t>4.4 M</w:t>
            </w:r>
          </w:p>
        </w:tc>
        <w:tc>
          <w:tcPr>
            <w:tcW w:type="dxa" w:w="620"/>
          </w:tcPr>
          <w:p>
            <w:pPr>
              <w:spacing w:after="0"/>
            </w:pPr>
            <w:r/>
            <w:r>
              <w:rPr>
                <w:sz w:val="15"/>
              </w:rPr>
              <w:t>7.7 %</w:t>
            </w:r>
          </w:p>
        </w:tc>
        <w:tc>
          <w:tcPr>
            <w:tcW w:type="dxa" w:w="620"/>
          </w:tcPr>
          <w:p>
            <w:pPr>
              <w:spacing w:after="0"/>
            </w:pPr>
            <w:r/>
            <w:r>
              <w:rPr>
                <w:sz w:val="15"/>
              </w:rPr>
              <w:t>1.83 %</w:t>
            </w:r>
          </w:p>
        </w:tc>
        <w:tc>
          <w:tcPr>
            <w:tcW w:type="dxa" w:w="620"/>
          </w:tcPr>
          <w:p>
            <w:pPr>
              <w:spacing w:after="0"/>
            </w:pPr>
            <w:r/>
            <w:r>
              <w:rPr>
                <w:sz w:val="15"/>
              </w:rPr>
              <w:t>2.20</w:t>
            </w:r>
          </w:p>
        </w:tc>
        <w:tc>
          <w:tcPr>
            <w:tcW w:type="dxa" w:w="620"/>
          </w:tcPr>
          <w:p>
            <w:pPr>
              <w:spacing w:after="0"/>
            </w:pPr>
            <w:r/>
            <w:r>
              <w:rPr>
                <w:sz w:val="15"/>
              </w:rPr>
              <w:t>2.76 %</w:t>
            </w:r>
          </w:p>
        </w:tc>
        <w:tc>
          <w:tcPr>
            <w:tcW w:type="dxa" w:w="620"/>
          </w:tcPr>
          <w:p>
            <w:pPr>
              <w:spacing w:after="0"/>
            </w:pPr>
            <w:r/>
            <w:r>
              <w:rPr>
                <w:sz w:val="15"/>
              </w:rPr>
              <w:t>71.4 %</w:t>
            </w:r>
          </w:p>
        </w:tc>
        <w:tc>
          <w:tcPr>
            <w:tcW w:type="dxa" w:w="620"/>
          </w:tcPr>
          <w:p>
            <w:pPr>
              <w:spacing w:after="0"/>
            </w:pPr>
            <w:r/>
            <w:r>
              <w:rPr>
                <w:sz w:val="15"/>
              </w:rPr>
              <w:t>69.1 %</w:t>
            </w:r>
          </w:p>
        </w:tc>
        <w:tc>
          <w:tcPr>
            <w:tcW w:type="dxa" w:w="620"/>
          </w:tcPr>
          <w:p>
            <w:pPr>
              <w:spacing w:after="0"/>
            </w:pPr>
            <w:r/>
            <w:r>
              <w:rPr>
                <w:sz w:val="15"/>
              </w:rPr>
              <w:t>80.1 %</w:t>
            </w:r>
          </w:p>
        </w:tc>
        <w:tc>
          <w:tcPr>
            <w:tcW w:type="dxa" w:w="620"/>
          </w:tcPr>
          <w:p>
            <w:pPr>
              <w:spacing w:after="0"/>
            </w:pPr>
            <w:r/>
            <w:r>
              <w:rPr>
                <w:sz w:val="15"/>
              </w:rPr>
              <w:t>1.35</w:t>
            </w:r>
          </w:p>
        </w:tc>
        <w:tc>
          <w:tcPr>
            <w:tcW w:type="dxa" w:w="1049"/>
          </w:tcPr>
          <w:p>
            <w:pPr>
              <w:spacing w:after="0"/>
            </w:pPr>
            <w:r/>
            <w:r>
              <w:rPr>
                <w:sz w:val="15"/>
              </w:rPr>
              <w:t>38,639</w:t>
            </w:r>
          </w:p>
        </w:tc>
      </w:tr>
    </w:tbl>
    <w:p>
      <w:pPr>
        <w:spacing w:after="40"/>
      </w:pPr>
    </w:p>
    <w:p>
      <w:pPr>
        <w:spacing w:after="120"/>
      </w:pPr>
      <w:r>
        <w:t>(*) Others agrupa transaccional, NewProducts (BillPay), Shopping, Compliance, CX y lo que no trae equipo en el nombre.</w:t>
      </w:r>
    </w:p>
    <w:p>
      <w:pPr>
        <w:spacing w:after="120"/>
      </w:pPr>
      <w:r>
        <w:rPr>
          <w:b/>
        </w:rPr>
        <w:t>Marketing.</w:t>
      </w:r>
      <w:r>
        <w:t xml:space="preserve"> Es el equipo con más envíos, más costo y más bajas por mil (4.95, el doble del estándar). Su patrón: Canvas grandes de "rescate" a leads y anónimos por push (RescateFinesDeSemana 13.4 M envíos con 0.76 % de apertura; Anonimos RescateTasa0 8.9 M con 0.56 %) y referidos por email a leads y dormants (8.5 M con 0.23 % y 7.0 M con 0.07 %). Lo que sí funciona en Marketing: el retargeting de Veriff (email 9.7 M con 3.04 % de clic; push 2.9 M con 5.8 %), el referido a clientes KCash por push (2.4 %) y el in-app de registro de línea MX (86.6 % de clic). Marketing también genera 58,988 de los 79,994 emails promocionales a dados de baja y 44 % de las bajas de usuarios nuevos (mediana 5 días, 10 emails) por el onboarding de registro. Acciones en Campañas: apagar 23, confirmar apagado 109, bajar frecuencia 51, rehacer 54, limpiar WhatsApp 23, proteger 45, escalar 63.</w:t>
      </w:r>
    </w:p>
    <w:p>
      <w:pPr>
        <w:spacing w:after="120"/>
      </w:pPr>
      <w:r>
        <w:t>Regla para Marketing: referidos y lanzamientos salen de email masivo y van a in-app o push a clientes activos. Los rescates por push a anónimos y leads se acotan a quienes abrieron algún push en 60 días (el push está bien: quien abre convierte 6 a 7 veces más, pero abre menos del 1 %). Onboarding a 1 email al día. Filtro de suscripción en cada paso.</w:t>
      </w:r>
    </w:p>
    <w:p>
      <w:pPr>
        <w:spacing w:after="120"/>
      </w:pPr>
      <w:r>
        <w:rPr>
          <w:b/>
        </w:rPr>
        <w:t>Product Growth (Lending).</w:t>
      </w:r>
      <w:r>
        <w:t xml:space="preserve"> Tiene el ahorro más grande (1.3 M MXN al mes) porque concentra los emails de volumen que no responden: B0211 Nuevos Registrados Tasa 0 (34.9 M emails, 0.28 % de clic, 0.47 % de conversión entre quienes abren contra 8.3 % normal en email), B0223 NeverActive Installments (13.5 M, 0.10 %), B0337 CuestaEnero (7.4 M, 0.19 %), B0440 AnotayGana (7.2 M, 0.19 %). También pierde al usuario a los tres meses por insistencia (mediana 92 a 128 días y 17 a 31 emails antes de la baja). Lo que funciona: Retargeting Installments a activos (email 2.78 % y 2.14 %; push 11.0 %), B0209 Inactivos DescuentoDirecto se sostiene (0.55 %), y el in-app (46 %). Su WhatsApp es el que peor se lee (60.5 %) y de los que peor se entregan (71.9 %).</w:t>
      </w:r>
    </w:p>
    <w:p>
      <w:pPr>
        <w:spacing w:after="120"/>
      </w:pPr>
      <w:r>
        <w:t>Regla para Product Growth: Tasa 0 y ofertas a registrados sin crédito solo con segmento de señal (abrió algo en 90 días) y tope de 2 toques al mes; B0211 y B0223 se apagan por email y se dejan en push acotado. Un solo dueño de los segmentos fríos (A4) para dejar de pisarse con Marketing B0326.</w:t>
      </w:r>
    </w:p>
    <w:p>
      <w:pPr>
        <w:spacing w:after="120"/>
      </w:pPr>
      <w:r>
        <w:rPr>
          <w:b/>
        </w:rPr>
        <w:t>Sales.</w:t>
      </w:r>
      <w:r>
        <w:t xml:space="preserve"> El clic de email más bajo de todos (0.21 %) y el in-app más bajo (8.1 %), pero el mejor WhatsApp (79.9 % de entrega, 77.7 % de lectura) y un push aceptable en recurrentes (Comercio del día 1.1 a 1.8 %; QuincenasSinIntereses 4.2 %; KUESKIPRIMAVERA 2.2 %). Lo que no funciona: promociones de comercios por email a todo el portafolio (B0335, 6.4 M emails, 0.22 %) y el mismo evento repetido por dos canales el mismo día (HotSale push + push y push + WhatsApp a 450 mil usuarios). Sus ventas a recurrentes sí sostienen la diferencia abren contra no abren a 90 días (2 a 2.5 veces, 27 a 39 % de conversión entre quienes abren): son las que vale la pena re-segmentar en vez de apagar.</w:t>
      </w:r>
    </w:p>
    <w:p>
      <w:pPr>
        <w:spacing w:after="120"/>
      </w:pPr>
      <w:r>
        <w:t>Regla para Sales: el canal de Sales es push y WhatsApp a recurrentes de KPay, no email. Un evento (Hot Sale, Buen Fin) = una pieza por canal y un calendario con Marketing para no mandar la misma promoción dos veces (Cuponera HotSale de Marketing y HotSale de Sales coincidieron 5 meses en 530 mil usuarios). Excluir CC Freeze en todo (13.0 M envíos a quien no puede pagar con KPay).</w:t>
      </w:r>
    </w:p>
    <w:p>
      <w:pPr>
        <w:spacing w:after="120"/>
      </w:pPr>
      <w:r>
        <w:rPr>
          <w:b/>
        </w:rPr>
        <w:t>Collections.</w:t>
      </w:r>
      <w:r>
        <w:t xml:space="preserve"> No se toca con las reglas promocionales: es cobranza y su respuesta depende del proceso. Pero sí hay orden que poner: 3.86 toques por usuario al mes (el doble del tope promocional, aceptable en cobranza pero hay que declararlo), todo con ticket T000 (un C#### por bucket), y Canvas </w:t>
      </w:r>
      <w:r>
        <w:rPr>
          <w:rFonts w:ascii="Consolas" w:hAnsi="Consolas" w:eastAsia="Consolas"/>
          <w:color w:val="1F4E79"/>
        </w:rPr>
        <w:t>PRUEBA_</w:t>
      </w:r>
      <w:r>
        <w:t xml:space="preserve"> de cobranza que llegaron a 5,166 usuarios reales dados de baja. Precobranza es la pieza que mejor responde de toda la empresa en email (4.3 %) y push (5.3 %): protegerla. Pendiente con Legal: 61 mil envíos de cobranza a REUS y ARCO.</w:t>
      </w:r>
    </w:p>
    <w:p>
      <w:pPr>
        <w:spacing w:after="120"/>
      </w:pPr>
      <w:r>
        <w:rPr>
          <w:b/>
        </w:rPr>
        <w:t>Others.</w:t>
      </w:r>
      <w:r>
        <w:t xml:space="preserve"> Mezcla transaccional (que responde bien: Payment Confirmation 3.8 %, DD advance 2.1 %) con dos piezas promocionales de volumen que no responden: BillPay Intro (16.1 M emails, 0.11 % de clic, 31 % de las bajas de usuarios nuevos del año) y Shopping WeeklyRecommendations (7.0 M, 0.12 %, 57 mil envíos a REUS). Solo 48.7 % de sus envíos trae ticket.</w:t>
      </w:r>
    </w:p>
    <w:p>
      <w:pPr>
        <w:spacing w:after="120"/>
      </w:pPr>
      <w:r>
        <w:t>Regla para Others: lo transaccional se nombra con la convención y ticket (hoy no lo hace) y se protege. BillPay y Shopping entran a las reglas promocionales como cualquier otro equipo: segmento, prueba al 10 %, tope.</w:t>
      </w:r>
    </w:p>
    <w:p>
      <w:pPr>
        <w:pStyle w:val="Heading2"/>
      </w:pPr>
      <w:r>
        <w:t>C3. Por canal</w:t>
      </w:r>
    </w:p>
    <w:p>
      <w:pPr>
        <w:spacing w:after="120"/>
      </w:pPr>
      <w:r>
        <w:t>Cifras (Canales):</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685"/>
            <w:shd w:val="clear" w:color="auto" w:fill="E8EEF4"/>
          </w:tcPr>
          <w:p>
            <w:pPr>
              <w:spacing w:after="0"/>
            </w:pPr>
            <w:r>
              <w:rPr>
                <w:b/>
              </w:rPr>
            </w:r>
            <w:r>
              <w:rPr>
                <w:b/>
                <w:sz w:val="15"/>
              </w:rPr>
              <w:t>Canal</w:t>
            </w:r>
          </w:p>
        </w:tc>
        <w:tc>
          <w:tcPr>
            <w:tcW w:type="dxa" w:w="685"/>
            <w:shd w:val="clear" w:color="auto" w:fill="E8EEF4"/>
          </w:tcPr>
          <w:p>
            <w:pPr>
              <w:spacing w:after="0"/>
            </w:pPr>
            <w:r>
              <w:rPr>
                <w:b/>
              </w:rPr>
            </w:r>
            <w:r>
              <w:rPr>
                <w:b/>
                <w:sz w:val="15"/>
              </w:rPr>
              <w:t>Familias</w:t>
            </w:r>
          </w:p>
        </w:tc>
        <w:tc>
          <w:tcPr>
            <w:tcW w:type="dxa" w:w="685"/>
            <w:shd w:val="clear" w:color="auto" w:fill="E8EEF4"/>
          </w:tcPr>
          <w:p>
            <w:pPr>
              <w:spacing w:after="0"/>
            </w:pPr>
            <w:r>
              <w:rPr>
                <w:b/>
              </w:rPr>
            </w:r>
            <w:r>
              <w:rPr>
                <w:b/>
                <w:sz w:val="15"/>
              </w:rPr>
              <w:t>Activas</w:t>
            </w:r>
          </w:p>
        </w:tc>
        <w:tc>
          <w:tcPr>
            <w:tcW w:type="dxa" w:w="685"/>
            <w:shd w:val="clear" w:color="auto" w:fill="E8EEF4"/>
          </w:tcPr>
          <w:p>
            <w:pPr>
              <w:spacing w:after="0"/>
            </w:pPr>
            <w:r>
              <w:rPr>
                <w:b/>
              </w:rPr>
            </w:r>
            <w:r>
              <w:rPr>
                <w:b/>
                <w:sz w:val="15"/>
              </w:rPr>
              <w:t>Envíos</w:t>
            </w:r>
          </w:p>
        </w:tc>
        <w:tc>
          <w:tcPr>
            <w:tcW w:type="dxa" w:w="1189"/>
            <w:shd w:val="clear" w:color="auto" w:fill="E8EEF4"/>
          </w:tcPr>
          <w:p>
            <w:pPr>
              <w:spacing w:after="0"/>
            </w:pPr>
            <w:r>
              <w:rPr>
                <w:b/>
              </w:rPr>
            </w:r>
            <w:r>
              <w:rPr>
                <w:b/>
                <w:sz w:val="15"/>
              </w:rPr>
              <w:t>Costo MXN</w:t>
            </w:r>
          </w:p>
        </w:tc>
        <w:tc>
          <w:tcPr>
            <w:tcW w:type="dxa" w:w="713"/>
            <w:shd w:val="clear" w:color="auto" w:fill="E8EEF4"/>
          </w:tcPr>
          <w:p>
            <w:pPr>
              <w:spacing w:after="0"/>
            </w:pPr>
            <w:r>
              <w:rPr>
                <w:b/>
              </w:rPr>
            </w:r>
            <w:r>
              <w:rPr>
                <w:b/>
                <w:sz w:val="15"/>
              </w:rPr>
              <w:t>Respuesta</w:t>
            </w:r>
          </w:p>
        </w:tc>
        <w:tc>
          <w:tcPr>
            <w:tcW w:type="dxa" w:w="904"/>
            <w:shd w:val="clear" w:color="auto" w:fill="E8EEF4"/>
          </w:tcPr>
          <w:p>
            <w:pPr>
              <w:spacing w:after="0"/>
            </w:pPr>
            <w:r>
              <w:rPr>
                <w:b/>
              </w:rPr>
            </w:r>
            <w:r>
              <w:rPr>
                <w:b/>
                <w:sz w:val="15"/>
              </w:rPr>
              <w:t>Mediana por familia</w:t>
            </w:r>
          </w:p>
        </w:tc>
        <w:tc>
          <w:tcPr>
            <w:tcW w:type="dxa" w:w="1237"/>
            <w:shd w:val="clear" w:color="auto" w:fill="E8EEF4"/>
          </w:tcPr>
          <w:p>
            <w:pPr>
              <w:spacing w:after="0"/>
            </w:pPr>
            <w:r>
              <w:rPr>
                <w:b/>
              </w:rPr>
            </w:r>
            <w:r>
              <w:rPr>
                <w:b/>
                <w:sz w:val="15"/>
              </w:rPr>
              <w:t>Mínimo para seguir</w:t>
            </w:r>
          </w:p>
        </w:tc>
        <w:tc>
          <w:tcPr>
            <w:tcW w:type="dxa" w:w="2854"/>
            <w:shd w:val="clear" w:color="auto" w:fill="E8EEF4"/>
          </w:tcPr>
          <w:p>
            <w:pPr>
              <w:spacing w:after="0"/>
            </w:pPr>
            <w:r>
              <w:rPr>
                <w:b/>
              </w:rPr>
            </w:r>
            <w:r>
              <w:rPr>
                <w:b/>
                <w:sz w:val="15"/>
              </w:rPr>
              <w:t>Estado</w:t>
            </w:r>
          </w:p>
        </w:tc>
      </w:tr>
      <w:tr>
        <w:tc>
          <w:tcPr>
            <w:tcW w:type="dxa" w:w="685"/>
          </w:tcPr>
          <w:p>
            <w:pPr>
              <w:spacing w:after="0"/>
            </w:pPr>
            <w:r/>
            <w:r>
              <w:rPr>
                <w:sz w:val="15"/>
              </w:rPr>
              <w:t>Email</w:t>
            </w:r>
          </w:p>
        </w:tc>
        <w:tc>
          <w:tcPr>
            <w:tcW w:type="dxa" w:w="685"/>
          </w:tcPr>
          <w:p>
            <w:pPr>
              <w:spacing w:after="0"/>
            </w:pPr>
            <w:r/>
            <w:r>
              <w:rPr>
                <w:sz w:val="15"/>
              </w:rPr>
              <w:t>523</w:t>
            </w:r>
          </w:p>
        </w:tc>
        <w:tc>
          <w:tcPr>
            <w:tcW w:type="dxa" w:w="685"/>
          </w:tcPr>
          <w:p>
            <w:pPr>
              <w:spacing w:after="0"/>
            </w:pPr>
            <w:r/>
            <w:r>
              <w:rPr>
                <w:sz w:val="15"/>
              </w:rPr>
              <w:t>167</w:t>
            </w:r>
          </w:p>
        </w:tc>
        <w:tc>
          <w:tcPr>
            <w:tcW w:type="dxa" w:w="685"/>
          </w:tcPr>
          <w:p>
            <w:pPr>
              <w:spacing w:after="0"/>
            </w:pPr>
            <w:r/>
            <w:r>
              <w:rPr>
                <w:sz w:val="15"/>
              </w:rPr>
              <w:t>333.5 M</w:t>
            </w:r>
          </w:p>
        </w:tc>
        <w:tc>
          <w:tcPr>
            <w:tcW w:type="dxa" w:w="1189"/>
          </w:tcPr>
          <w:p>
            <w:pPr>
              <w:spacing w:after="0"/>
            </w:pPr>
            <w:r/>
            <w:r>
              <w:rPr>
                <w:sz w:val="15"/>
              </w:rPr>
              <w:t>16.7 M</w:t>
            </w:r>
          </w:p>
        </w:tc>
        <w:tc>
          <w:tcPr>
            <w:tcW w:type="dxa" w:w="713"/>
          </w:tcPr>
          <w:p>
            <w:pPr>
              <w:spacing w:after="0"/>
            </w:pPr>
            <w:r/>
            <w:r>
              <w:rPr>
                <w:sz w:val="15"/>
              </w:rPr>
              <w:t>0.92 % clic</w:t>
            </w:r>
          </w:p>
        </w:tc>
        <w:tc>
          <w:tcPr>
            <w:tcW w:type="dxa" w:w="904"/>
          </w:tcPr>
          <w:p>
            <w:pPr>
              <w:spacing w:after="0"/>
            </w:pPr>
            <w:r/>
            <w:r>
              <w:rPr>
                <w:sz w:val="15"/>
              </w:rPr>
              <w:t>0.52 %</w:t>
            </w:r>
          </w:p>
        </w:tc>
        <w:tc>
          <w:tcPr>
            <w:tcW w:type="dxa" w:w="1237"/>
          </w:tcPr>
          <w:p>
            <w:pPr>
              <w:spacing w:after="0"/>
            </w:pPr>
            <w:r/>
            <w:r>
              <w:rPr>
                <w:sz w:val="15"/>
              </w:rPr>
              <w:t>0.3 %</w:t>
            </w:r>
          </w:p>
        </w:tc>
        <w:tc>
          <w:tcPr>
            <w:tcW w:type="dxa" w:w="2854"/>
          </w:tcPr>
          <w:p>
            <w:pPr>
              <w:spacing w:after="0"/>
            </w:pPr>
            <w:r/>
            <w:r>
              <w:rPr>
                <w:sz w:val="15"/>
              </w:rPr>
              <w:t>185 familias en apagar o rehacer</w:t>
            </w:r>
          </w:p>
        </w:tc>
      </w:tr>
      <w:tr>
        <w:tc>
          <w:tcPr>
            <w:tcW w:type="dxa" w:w="685"/>
          </w:tcPr>
          <w:p>
            <w:pPr>
              <w:spacing w:after="0"/>
            </w:pPr>
            <w:r/>
            <w:r>
              <w:rPr>
                <w:sz w:val="15"/>
              </w:rPr>
              <w:t>Push</w:t>
            </w:r>
          </w:p>
        </w:tc>
        <w:tc>
          <w:tcPr>
            <w:tcW w:type="dxa" w:w="685"/>
          </w:tcPr>
          <w:p>
            <w:pPr>
              <w:spacing w:after="0"/>
            </w:pPr>
            <w:r/>
            <w:r>
              <w:rPr>
                <w:sz w:val="15"/>
              </w:rPr>
              <w:t>682</w:t>
            </w:r>
          </w:p>
        </w:tc>
        <w:tc>
          <w:tcPr>
            <w:tcW w:type="dxa" w:w="685"/>
          </w:tcPr>
          <w:p>
            <w:pPr>
              <w:spacing w:after="0"/>
            </w:pPr>
            <w:r/>
            <w:r>
              <w:rPr>
                <w:sz w:val="15"/>
              </w:rPr>
              <w:t>155</w:t>
            </w:r>
          </w:p>
        </w:tc>
        <w:tc>
          <w:tcPr>
            <w:tcW w:type="dxa" w:w="685"/>
          </w:tcPr>
          <w:p>
            <w:pPr>
              <w:spacing w:after="0"/>
            </w:pPr>
            <w:r/>
            <w:r>
              <w:rPr>
                <w:sz w:val="15"/>
              </w:rPr>
              <w:t>251.1 M</w:t>
            </w:r>
          </w:p>
        </w:tc>
        <w:tc>
          <w:tcPr>
            <w:tcW w:type="dxa" w:w="1189"/>
          </w:tcPr>
          <w:p>
            <w:pPr>
              <w:spacing w:after="0"/>
            </w:pPr>
            <w:r/>
            <w:r>
              <w:rPr>
                <w:sz w:val="15"/>
              </w:rPr>
              <w:t>0</w:t>
            </w:r>
          </w:p>
        </w:tc>
        <w:tc>
          <w:tcPr>
            <w:tcW w:type="dxa" w:w="713"/>
          </w:tcPr>
          <w:p>
            <w:pPr>
              <w:spacing w:after="0"/>
            </w:pPr>
            <w:r/>
            <w:r>
              <w:rPr>
                <w:sz w:val="15"/>
              </w:rPr>
              <w:t>1.53 % apertura</w:t>
            </w:r>
          </w:p>
        </w:tc>
        <w:tc>
          <w:tcPr>
            <w:tcW w:type="dxa" w:w="904"/>
          </w:tcPr>
          <w:p>
            <w:pPr>
              <w:spacing w:after="0"/>
            </w:pPr>
            <w:r/>
            <w:r>
              <w:rPr>
                <w:sz w:val="15"/>
              </w:rPr>
              <w:t>1.08 %</w:t>
            </w:r>
          </w:p>
        </w:tc>
        <w:tc>
          <w:tcPr>
            <w:tcW w:type="dxa" w:w="1237"/>
          </w:tcPr>
          <w:p>
            <w:pPr>
              <w:spacing w:after="0"/>
            </w:pPr>
            <w:r/>
            <w:r>
              <w:rPr>
                <w:sz w:val="15"/>
              </w:rPr>
              <w:t>0.75 %</w:t>
            </w:r>
          </w:p>
        </w:tc>
        <w:tc>
          <w:tcPr>
            <w:tcW w:type="dxa" w:w="2854"/>
          </w:tcPr>
          <w:p>
            <w:pPr>
              <w:spacing w:after="0"/>
            </w:pPr>
            <w:r/>
            <w:r>
              <w:rPr>
                <w:sz w:val="15"/>
              </w:rPr>
              <w:t>330 en apagar o rehacer; 58 % del volumen en piezas con menos de 1 %</w:t>
            </w:r>
          </w:p>
        </w:tc>
      </w:tr>
      <w:tr>
        <w:tc>
          <w:tcPr>
            <w:tcW w:type="dxa" w:w="685"/>
          </w:tcPr>
          <w:p>
            <w:pPr>
              <w:spacing w:after="0"/>
            </w:pPr>
            <w:r/>
            <w:r>
              <w:rPr>
                <w:sz w:val="15"/>
              </w:rPr>
              <w:t>WhatsApp</w:t>
            </w:r>
          </w:p>
        </w:tc>
        <w:tc>
          <w:tcPr>
            <w:tcW w:type="dxa" w:w="685"/>
          </w:tcPr>
          <w:p>
            <w:pPr>
              <w:spacing w:after="0"/>
            </w:pPr>
            <w:r/>
            <w:r>
              <w:rPr>
                <w:sz w:val="15"/>
              </w:rPr>
              <w:t>309</w:t>
            </w:r>
          </w:p>
        </w:tc>
        <w:tc>
          <w:tcPr>
            <w:tcW w:type="dxa" w:w="685"/>
          </w:tcPr>
          <w:p>
            <w:pPr>
              <w:spacing w:after="0"/>
            </w:pPr>
            <w:r/>
            <w:r>
              <w:rPr>
                <w:sz w:val="15"/>
              </w:rPr>
              <w:t>57</w:t>
            </w:r>
          </w:p>
        </w:tc>
        <w:tc>
          <w:tcPr>
            <w:tcW w:type="dxa" w:w="685"/>
          </w:tcPr>
          <w:p>
            <w:pPr>
              <w:spacing w:after="0"/>
            </w:pPr>
            <w:r/>
            <w:r>
              <w:rPr>
                <w:sz w:val="15"/>
              </w:rPr>
              <w:t>55.2 M</w:t>
            </w:r>
          </w:p>
        </w:tc>
        <w:tc>
          <w:tcPr>
            <w:tcW w:type="dxa" w:w="1189"/>
          </w:tcPr>
          <w:p>
            <w:pPr>
              <w:spacing w:after="0"/>
            </w:pPr>
            <w:r/>
            <w:r>
              <w:rPr>
                <w:sz w:val="15"/>
              </w:rPr>
              <w:t>41.0 M (sobre entregados)</w:t>
            </w:r>
          </w:p>
        </w:tc>
        <w:tc>
          <w:tcPr>
            <w:tcW w:type="dxa" w:w="713"/>
          </w:tcPr>
          <w:p>
            <w:pPr>
              <w:spacing w:after="0"/>
            </w:pPr>
            <w:r/>
            <w:r>
              <w:rPr>
                <w:sz w:val="15"/>
              </w:rPr>
              <w:t>68.8 % lectura</w:t>
            </w:r>
          </w:p>
        </w:tc>
        <w:tc>
          <w:tcPr>
            <w:tcW w:type="dxa" w:w="904"/>
          </w:tcPr>
          <w:p>
            <w:pPr>
              <w:spacing w:after="0"/>
            </w:pPr>
            <w:r/>
            <w:r>
              <w:rPr>
                <w:sz w:val="15"/>
              </w:rPr>
              <w:t>67.4 %</w:t>
            </w:r>
          </w:p>
        </w:tc>
        <w:tc>
          <w:tcPr>
            <w:tcW w:type="dxa" w:w="1237"/>
          </w:tcPr>
          <w:p>
            <w:pPr>
              <w:spacing w:after="0"/>
            </w:pPr>
            <w:r/>
            <w:r>
              <w:rPr>
                <w:sz w:val="15"/>
              </w:rPr>
              <w:t>60 % lectura, 80 % entrega</w:t>
            </w:r>
          </w:p>
        </w:tc>
        <w:tc>
          <w:tcPr>
            <w:tcW w:type="dxa" w:w="2854"/>
          </w:tcPr>
          <w:p>
            <w:pPr>
              <w:spacing w:after="0"/>
            </w:pPr>
            <w:r/>
            <w:r>
              <w:rPr>
                <w:sz w:val="15"/>
              </w:rPr>
              <w:t>25.8 % sin entrega; 56 familias por limpiar base</w:t>
            </w:r>
          </w:p>
        </w:tc>
      </w:tr>
      <w:tr>
        <w:tc>
          <w:tcPr>
            <w:tcW w:type="dxa" w:w="685"/>
          </w:tcPr>
          <w:p>
            <w:pPr>
              <w:spacing w:after="0"/>
            </w:pPr>
            <w:r/>
            <w:r>
              <w:rPr>
                <w:sz w:val="15"/>
              </w:rPr>
              <w:t>In-app</w:t>
            </w:r>
          </w:p>
        </w:tc>
        <w:tc>
          <w:tcPr>
            <w:tcW w:type="dxa" w:w="685"/>
          </w:tcPr>
          <w:p>
            <w:pPr>
              <w:spacing w:after="0"/>
            </w:pPr>
            <w:r/>
            <w:r>
              <w:rPr>
                <w:sz w:val="15"/>
              </w:rPr>
              <w:t>398</w:t>
            </w:r>
          </w:p>
        </w:tc>
        <w:tc>
          <w:tcPr>
            <w:tcW w:type="dxa" w:w="685"/>
          </w:tcPr>
          <w:p>
            <w:pPr>
              <w:spacing w:after="0"/>
            </w:pPr>
            <w:r/>
            <w:r>
              <w:rPr>
                <w:sz w:val="15"/>
              </w:rPr>
              <w:t>100</w:t>
            </w:r>
          </w:p>
        </w:tc>
        <w:tc>
          <w:tcPr>
            <w:tcW w:type="dxa" w:w="685"/>
          </w:tcPr>
          <w:p>
            <w:pPr>
              <w:spacing w:after="0"/>
            </w:pPr>
            <w:r/>
            <w:r>
              <w:rPr>
                <w:sz w:val="15"/>
              </w:rPr>
              <w:t>27.4 M</w:t>
            </w:r>
          </w:p>
        </w:tc>
        <w:tc>
          <w:tcPr>
            <w:tcW w:type="dxa" w:w="1189"/>
          </w:tcPr>
          <w:p>
            <w:pPr>
              <w:spacing w:after="0"/>
            </w:pPr>
            <w:r/>
            <w:r>
              <w:rPr>
                <w:sz w:val="15"/>
              </w:rPr>
              <w:t>0</w:t>
            </w:r>
          </w:p>
        </w:tc>
        <w:tc>
          <w:tcPr>
            <w:tcW w:type="dxa" w:w="713"/>
          </w:tcPr>
          <w:p>
            <w:pPr>
              <w:spacing w:after="0"/>
            </w:pPr>
            <w:r/>
            <w:r>
              <w:rPr>
                <w:sz w:val="15"/>
              </w:rPr>
              <w:t>38.2 % clic</w:t>
            </w:r>
          </w:p>
        </w:tc>
        <w:tc>
          <w:tcPr>
            <w:tcW w:type="dxa" w:w="904"/>
          </w:tcPr>
          <w:p>
            <w:pPr>
              <w:spacing w:after="0"/>
            </w:pPr>
            <w:r/>
            <w:r>
              <w:rPr>
                <w:sz w:val="15"/>
              </w:rPr>
              <w:t>18.2 %</w:t>
            </w:r>
          </w:p>
        </w:tc>
        <w:tc>
          <w:tcPr>
            <w:tcW w:type="dxa" w:w="1237"/>
          </w:tcPr>
          <w:p>
            <w:pPr>
              <w:spacing w:after="0"/>
            </w:pPr>
            <w:r/>
            <w:r>
              <w:rPr>
                <w:sz w:val="15"/>
              </w:rPr>
              <w:t>10 %</w:t>
            </w:r>
          </w:p>
        </w:tc>
        <w:tc>
          <w:tcPr>
            <w:tcW w:type="dxa" w:w="2854"/>
          </w:tcPr>
          <w:p>
            <w:pPr>
              <w:spacing w:after="0"/>
            </w:pPr>
            <w:r/>
            <w:r>
              <w:rPr>
                <w:sz w:val="15"/>
              </w:rPr>
              <w:t>194 en apagar o rehacer, pero por volumen chico; 70 por proteger</w:t>
            </w:r>
          </w:p>
        </w:tc>
      </w:tr>
    </w:tbl>
    <w:p>
      <w:pPr>
        <w:spacing w:after="40"/>
      </w:pPr>
    </w:p>
    <w:p>
      <w:pPr>
        <w:spacing w:after="120"/>
      </w:pPr>
      <w:r>
        <w:rPr>
          <w:b/>
        </w:rPr>
        <w:t>Email.</w:t>
      </w:r>
      <w:r>
        <w:t xml:space="preserve"> Funciona: transaccional (2.74 % de clic), retargeting de algo que el usuario empezó (2.99 %), dos toques (1.76 %), audiencias de 10 a 100 mil (1.15 %), nuevos (1.25 %). No funciona: tasa 0 a registrados (0.53 %), referidos (0.22 %), newsletters y lanzamientos (0.22 %, y las bajas más altas: 5.6 por mil), bases frías (0.35 %), envíos de más de 1 M (0.16 %). Es el canal que se da de baja: 439 mil usuarios únicos en 9 meses (2.2 % de la base con email). Regla: email para transaccional, retargeting y nuevos; promoción masiva por email solo a quien hizo clic en un email en 90 días. Asunto no es el problema (abren 23.6 %): es que no hay qué hacer dentro. Un solo llamado a la acción.</w:t>
      </w:r>
    </w:p>
    <w:p>
      <w:pPr>
        <w:spacing w:after="120"/>
      </w:pPr>
      <w:r>
        <w:rPr>
          <w:b/>
        </w:rPr>
        <w:t>Push.</w:t>
      </w:r>
      <w:r>
        <w:t xml:space="preserve"> Funciona: cobranza (3.6 %), nuevos (3.2 %), retargeting (2.2 %), recurrentes (1.75 %), dos toques (2.52 %). No funciona: leads y anónimos (0.94 %), bases frías (0.77 %), tasa 0 (0.68 %), lanzamientos (0.82 %). Quien abre un push convierte 3 veces más que quien no (mediana 19.9 % contra 6.6 %): el push es el mejor canal para acotar bases por señal. Regla: push es el canal de señal. Primero push barato, y el resto de la secuencia solo a quien lo abrió. Tope de 1 push promocional al día.</w:t>
      </w:r>
    </w:p>
    <w:p>
      <w:pPr>
        <w:spacing w:after="120"/>
      </w:pPr>
      <w:r>
        <w:rPr>
          <w:b/>
        </w:rPr>
        <w:t>WhatsApp.</w:t>
      </w:r>
      <w:r>
        <w:t xml:space="preserve"> Funciona: activos y recurrentes (70 % de lectura, 82 % de entrega), Sales a recurrentes de KPay (78 %). No funciona: bases frías (65 % de lectura, 68 % de entrega, 23 M MXN), WhatsApp de pago a quien nunca leyó uno (3.2 M MXN), versiones repetidas con 2 a 6 días de diferencia (B0333 Churn). Es el 8 % de los envíos y el 77 % del costo variable. Regla: WhatsApp solo detrás de una señal (abrió push, email o in-app) o a activos, nunca como primer toque a una base fría. Limpiar </w:t>
      </w:r>
      <w:r>
        <w:rPr>
          <w:rFonts w:ascii="Consolas" w:hAnsi="Consolas" w:eastAsia="Consolas"/>
          <w:color w:val="1F4E79"/>
        </w:rPr>
        <w:t>EXC-WA-SinEntrega3</w:t>
      </w:r>
      <w:r>
        <w:t xml:space="preserve"> antes de cualquier envío. Un WhatsApp promocional al mes por usuario.</w:t>
      </w:r>
    </w:p>
    <w:p>
      <w:pPr>
        <w:spacing w:after="120"/>
      </w:pPr>
      <w:r>
        <w:rPr>
          <w:b/>
        </w:rPr>
        <w:t>In-app.</w:t>
      </w:r>
      <w:r>
        <w:t xml:space="preserve"> Funciona casi todo porque llega a quien ya abrió la app: referidos (42.7 % contra 0.22 % por email), lanzamientos (54.5 %), retargeting (57.9 %), onboarding (63.8 %). No funciona: ofertas y descuentos genéricos (14.4 %), cobranza (13.4 %). Regla: referidos, lanzamientos, novedades y encuestas van en in-app primero. Es gratis y es el canal con más respuesta. El 5.5 % de los usuarios que solo responde a in-app recibe 43 mensajes al año por otros canales que no abre.</w:t>
      </w:r>
    </w:p>
    <w:p>
      <w:pPr>
        <w:spacing w:after="120"/>
      </w:pPr>
      <w:r>
        <w:rPr>
          <w:b/>
        </w:rPr>
        <w:t>Banner.</w:t>
      </w:r>
      <w:r>
        <w:t xml:space="preserve"> Una sola comunicación (217 mil impresiones). Sin reglas propias; se trata como in-app.</w:t>
      </w:r>
    </w:p>
    <w:p>
      <w:pPr>
        <w:pStyle w:val="Heading2"/>
      </w:pPr>
      <w:r>
        <w:t>C4. Por mes</w:t>
      </w:r>
    </w:p>
    <w:p>
      <w:pPr>
        <w:spacing w:after="120"/>
      </w:pPr>
      <w:r>
        <w:t>Cifras (serie mensual de E4a; Canales y Mensual):</w:t>
      </w:r>
    </w:p>
    <w:tbl>
      <w:tblPr>
        <w:tblStyle w:val="TableGrid"/>
        <w:tblW w:type="auto" w:w="0"/>
        <w:jc w:val="center"/>
        <w:tblLayout w:type="fixed"/>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707"/>
            <w:shd w:val="clear" w:color="auto" w:fill="E8EEF4"/>
          </w:tcPr>
          <w:p>
            <w:pPr>
              <w:spacing w:after="0"/>
            </w:pPr>
            <w:r>
              <w:rPr>
                <w:b/>
              </w:rPr>
            </w:r>
            <w:r>
              <w:rPr>
                <w:b/>
                <w:sz w:val="15"/>
              </w:rPr>
              <w:t>Mes</w:t>
            </w:r>
          </w:p>
        </w:tc>
        <w:tc>
          <w:tcPr>
            <w:tcW w:type="dxa" w:w="707"/>
            <w:shd w:val="clear" w:color="auto" w:fill="E8EEF4"/>
          </w:tcPr>
          <w:p>
            <w:pPr>
              <w:spacing w:after="0"/>
            </w:pPr>
            <w:r>
              <w:rPr>
                <w:b/>
              </w:rPr>
            </w:r>
            <w:r>
              <w:rPr>
                <w:b/>
                <w:sz w:val="15"/>
              </w:rPr>
              <w:t>Envíos</w:t>
            </w:r>
          </w:p>
        </w:tc>
        <w:tc>
          <w:tcPr>
            <w:tcW w:type="dxa" w:w="707"/>
            <w:shd w:val="clear" w:color="auto" w:fill="E8EEF4"/>
          </w:tcPr>
          <w:p>
            <w:pPr>
              <w:spacing w:after="0"/>
            </w:pPr>
            <w:r>
              <w:rPr>
                <w:b/>
              </w:rPr>
            </w:r>
            <w:r>
              <w:rPr>
                <w:b/>
                <w:sz w:val="15"/>
              </w:rPr>
              <w:t>Email clic</w:t>
            </w:r>
          </w:p>
        </w:tc>
        <w:tc>
          <w:tcPr>
            <w:tcW w:type="dxa" w:w="1482"/>
            <w:shd w:val="clear" w:color="auto" w:fill="E8EEF4"/>
          </w:tcPr>
          <w:p>
            <w:pPr>
              <w:spacing w:after="0"/>
            </w:pPr>
            <w:r>
              <w:rPr>
                <w:b/>
              </w:rPr>
            </w:r>
            <w:r>
              <w:rPr>
                <w:b/>
                <w:sz w:val="15"/>
              </w:rPr>
              <w:t>Bajas por mil entregados</w:t>
            </w:r>
          </w:p>
        </w:tc>
        <w:tc>
          <w:tcPr>
            <w:tcW w:type="dxa" w:w="802"/>
            <w:shd w:val="clear" w:color="auto" w:fill="E8EEF4"/>
          </w:tcPr>
          <w:p>
            <w:pPr>
              <w:spacing w:after="0"/>
            </w:pPr>
            <w:r>
              <w:rPr>
                <w:b/>
              </w:rPr>
            </w:r>
            <w:r>
              <w:rPr>
                <w:b/>
                <w:sz w:val="15"/>
              </w:rPr>
              <w:t>Push apertura</w:t>
            </w:r>
          </w:p>
        </w:tc>
        <w:tc>
          <w:tcPr>
            <w:tcW w:type="dxa" w:w="1049"/>
            <w:shd w:val="clear" w:color="auto" w:fill="E8EEF4"/>
          </w:tcPr>
          <w:p>
            <w:pPr>
              <w:spacing w:after="0"/>
            </w:pPr>
            <w:r>
              <w:rPr>
                <w:b/>
              </w:rPr>
            </w:r>
            <w:r>
              <w:rPr>
                <w:b/>
                <w:sz w:val="15"/>
              </w:rPr>
              <w:t>WhatsApp enviados</w:t>
            </w:r>
          </w:p>
        </w:tc>
        <w:tc>
          <w:tcPr>
            <w:tcW w:type="dxa" w:w="707"/>
            <w:shd w:val="clear" w:color="auto" w:fill="E8EEF4"/>
          </w:tcPr>
          <w:p>
            <w:pPr>
              <w:spacing w:after="0"/>
            </w:pPr>
            <w:r>
              <w:rPr>
                <w:b/>
              </w:rPr>
            </w:r>
            <w:r>
              <w:rPr>
                <w:b/>
                <w:sz w:val="15"/>
              </w:rPr>
              <w:t>WA entrega</w:t>
            </w:r>
          </w:p>
        </w:tc>
        <w:tc>
          <w:tcPr>
            <w:tcW w:type="dxa" w:w="707"/>
            <w:shd w:val="clear" w:color="auto" w:fill="E8EEF4"/>
          </w:tcPr>
          <w:p>
            <w:pPr>
              <w:spacing w:after="0"/>
            </w:pPr>
            <w:r>
              <w:rPr>
                <w:b/>
              </w:rPr>
            </w:r>
            <w:r>
              <w:rPr>
                <w:b/>
                <w:sz w:val="15"/>
              </w:rPr>
              <w:t>WA lectura</w:t>
            </w:r>
          </w:p>
        </w:tc>
        <w:tc>
          <w:tcPr>
            <w:tcW w:type="dxa" w:w="707"/>
            <w:shd w:val="clear" w:color="auto" w:fill="E8EEF4"/>
          </w:tcPr>
          <w:p>
            <w:pPr>
              <w:spacing w:after="0"/>
            </w:pPr>
            <w:r>
              <w:rPr>
                <w:b/>
              </w:rPr>
            </w:r>
            <w:r>
              <w:rPr>
                <w:b/>
                <w:sz w:val="15"/>
              </w:rPr>
              <w:t>In-app clic</w:t>
            </w:r>
          </w:p>
        </w:tc>
        <w:tc>
          <w:tcPr>
            <w:tcW w:type="dxa" w:w="707"/>
            <w:shd w:val="clear" w:color="auto" w:fill="E8EEF4"/>
          </w:tcPr>
          <w:p>
            <w:pPr>
              <w:spacing w:after="0"/>
            </w:pPr>
            <w:r>
              <w:rPr>
                <w:b/>
              </w:rPr>
            </w:r>
            <w:r>
              <w:rPr>
                <w:b/>
                <w:sz w:val="15"/>
              </w:rPr>
              <w:t>Costo MXN</w:t>
            </w:r>
          </w:p>
        </w:tc>
        <w:tc>
          <w:tcPr>
            <w:tcW w:type="dxa" w:w="1358"/>
            <w:shd w:val="clear" w:color="auto" w:fill="E8EEF4"/>
          </w:tcPr>
          <w:p>
            <w:pPr>
              <w:spacing w:after="0"/>
            </w:pPr>
            <w:r>
              <w:rPr>
                <w:b/>
              </w:rPr>
            </w:r>
            <w:r>
              <w:rPr>
                <w:b/>
                <w:sz w:val="15"/>
              </w:rPr>
              <w:t>Comunicaciones activas</w:t>
            </w:r>
          </w:p>
        </w:tc>
      </w:tr>
      <w:tr>
        <w:tc>
          <w:tcPr>
            <w:tcW w:type="dxa" w:w="707"/>
          </w:tcPr>
          <w:p>
            <w:pPr>
              <w:spacing w:after="0"/>
            </w:pPr>
            <w:r/>
            <w:r>
              <w:rPr>
                <w:sz w:val="15"/>
              </w:rPr>
              <w:t>Ene</w:t>
            </w:r>
          </w:p>
        </w:tc>
        <w:tc>
          <w:tcPr>
            <w:tcW w:type="dxa" w:w="707"/>
          </w:tcPr>
          <w:p>
            <w:pPr>
              <w:spacing w:after="0"/>
            </w:pPr>
            <w:r/>
            <w:r>
              <w:rPr>
                <w:sz w:val="15"/>
              </w:rPr>
              <w:t>58.7 M</w:t>
            </w:r>
          </w:p>
        </w:tc>
        <w:tc>
          <w:tcPr>
            <w:tcW w:type="dxa" w:w="707"/>
          </w:tcPr>
          <w:p>
            <w:pPr>
              <w:spacing w:after="0"/>
            </w:pPr>
            <w:r/>
            <w:r>
              <w:rPr>
                <w:sz w:val="15"/>
              </w:rPr>
              <w:t>1.20 %</w:t>
            </w:r>
          </w:p>
        </w:tc>
        <w:tc>
          <w:tcPr>
            <w:tcW w:type="dxa" w:w="1482"/>
          </w:tcPr>
          <w:p>
            <w:pPr>
              <w:spacing w:after="0"/>
            </w:pPr>
            <w:r/>
            <w:r>
              <w:rPr>
                <w:sz w:val="15"/>
              </w:rPr>
              <w:t>2.15</w:t>
            </w:r>
          </w:p>
        </w:tc>
        <w:tc>
          <w:tcPr>
            <w:tcW w:type="dxa" w:w="802"/>
          </w:tcPr>
          <w:p>
            <w:pPr>
              <w:spacing w:after="0"/>
            </w:pPr>
            <w:r/>
            <w:r>
              <w:rPr>
                <w:sz w:val="15"/>
              </w:rPr>
              <w:t>1.83 %</w:t>
            </w:r>
          </w:p>
        </w:tc>
        <w:tc>
          <w:tcPr>
            <w:tcW w:type="dxa" w:w="1049"/>
          </w:tcPr>
          <w:p>
            <w:pPr>
              <w:spacing w:after="0"/>
            </w:pPr>
            <w:r/>
            <w:r>
              <w:rPr>
                <w:sz w:val="15"/>
              </w:rPr>
              <w:t>5.6 M</w:t>
            </w:r>
          </w:p>
        </w:tc>
        <w:tc>
          <w:tcPr>
            <w:tcW w:type="dxa" w:w="707"/>
          </w:tcPr>
          <w:p>
            <w:pPr>
              <w:spacing w:after="0"/>
            </w:pPr>
            <w:r/>
            <w:r>
              <w:rPr>
                <w:sz w:val="15"/>
              </w:rPr>
              <w:t>80.0 %</w:t>
            </w:r>
          </w:p>
        </w:tc>
        <w:tc>
          <w:tcPr>
            <w:tcW w:type="dxa" w:w="707"/>
          </w:tcPr>
          <w:p>
            <w:pPr>
              <w:spacing w:after="0"/>
            </w:pPr>
            <w:r/>
            <w:r>
              <w:rPr>
                <w:sz w:val="15"/>
              </w:rPr>
              <w:t>74.6 %</w:t>
            </w:r>
          </w:p>
        </w:tc>
        <w:tc>
          <w:tcPr>
            <w:tcW w:type="dxa" w:w="707"/>
          </w:tcPr>
          <w:p>
            <w:pPr>
              <w:spacing w:after="0"/>
            </w:pPr>
            <w:r/>
            <w:r>
              <w:rPr>
                <w:sz w:val="15"/>
              </w:rPr>
              <w:t>47.6 %</w:t>
            </w:r>
          </w:p>
        </w:tc>
        <w:tc>
          <w:tcPr>
            <w:tcW w:type="dxa" w:w="707"/>
          </w:tcPr>
          <w:p>
            <w:pPr>
              <w:spacing w:after="0"/>
            </w:pPr>
            <w:r/>
            <w:r>
              <w:rPr>
                <w:sz w:val="15"/>
              </w:rPr>
              <w:t>7.4 M</w:t>
            </w:r>
          </w:p>
        </w:tc>
        <w:tc>
          <w:tcPr>
            <w:tcW w:type="dxa" w:w="1358"/>
          </w:tcPr>
          <w:p>
            <w:pPr>
              <w:spacing w:after="0"/>
            </w:pPr>
            <w:r/>
            <w:r>
              <w:rPr>
                <w:sz w:val="15"/>
              </w:rPr>
              <w:t>511</w:t>
            </w:r>
          </w:p>
        </w:tc>
      </w:tr>
      <w:tr>
        <w:tc>
          <w:tcPr>
            <w:tcW w:type="dxa" w:w="707"/>
          </w:tcPr>
          <w:p>
            <w:pPr>
              <w:spacing w:after="0"/>
            </w:pPr>
            <w:r/>
            <w:r>
              <w:rPr>
                <w:sz w:val="15"/>
              </w:rPr>
              <w:t>Feb</w:t>
            </w:r>
          </w:p>
        </w:tc>
        <w:tc>
          <w:tcPr>
            <w:tcW w:type="dxa" w:w="707"/>
          </w:tcPr>
          <w:p>
            <w:pPr>
              <w:spacing w:after="0"/>
            </w:pPr>
            <w:r/>
            <w:r>
              <w:rPr>
                <w:sz w:val="15"/>
              </w:rPr>
              <w:t>67.5 M</w:t>
            </w:r>
          </w:p>
        </w:tc>
        <w:tc>
          <w:tcPr>
            <w:tcW w:type="dxa" w:w="707"/>
          </w:tcPr>
          <w:p>
            <w:pPr>
              <w:spacing w:after="0"/>
            </w:pPr>
            <w:r/>
            <w:r>
              <w:rPr>
                <w:sz w:val="15"/>
              </w:rPr>
              <w:t>0.88 %</w:t>
            </w:r>
          </w:p>
        </w:tc>
        <w:tc>
          <w:tcPr>
            <w:tcW w:type="dxa" w:w="1482"/>
          </w:tcPr>
          <w:p>
            <w:pPr>
              <w:spacing w:after="0"/>
            </w:pPr>
            <w:r/>
            <w:r>
              <w:rPr>
                <w:sz w:val="15"/>
              </w:rPr>
              <w:t>1.71</w:t>
            </w:r>
          </w:p>
        </w:tc>
        <w:tc>
          <w:tcPr>
            <w:tcW w:type="dxa" w:w="802"/>
          </w:tcPr>
          <w:p>
            <w:pPr>
              <w:spacing w:after="0"/>
            </w:pPr>
            <w:r/>
            <w:r>
              <w:rPr>
                <w:sz w:val="15"/>
              </w:rPr>
              <w:t>1.43 %</w:t>
            </w:r>
          </w:p>
        </w:tc>
        <w:tc>
          <w:tcPr>
            <w:tcW w:type="dxa" w:w="1049"/>
          </w:tcPr>
          <w:p>
            <w:pPr>
              <w:spacing w:after="0"/>
            </w:pPr>
            <w:r/>
            <w:r>
              <w:rPr>
                <w:sz w:val="15"/>
              </w:rPr>
              <w:t>7.8 M</w:t>
            </w:r>
          </w:p>
        </w:tc>
        <w:tc>
          <w:tcPr>
            <w:tcW w:type="dxa" w:w="707"/>
          </w:tcPr>
          <w:p>
            <w:pPr>
              <w:spacing w:after="0"/>
            </w:pPr>
            <w:r/>
            <w:r>
              <w:rPr>
                <w:sz w:val="15"/>
              </w:rPr>
              <w:t>77.1 %</w:t>
            </w:r>
          </w:p>
        </w:tc>
        <w:tc>
          <w:tcPr>
            <w:tcW w:type="dxa" w:w="707"/>
          </w:tcPr>
          <w:p>
            <w:pPr>
              <w:spacing w:after="0"/>
            </w:pPr>
            <w:r/>
            <w:r>
              <w:rPr>
                <w:sz w:val="15"/>
              </w:rPr>
              <w:t>73.3 %</w:t>
            </w:r>
          </w:p>
        </w:tc>
        <w:tc>
          <w:tcPr>
            <w:tcW w:type="dxa" w:w="707"/>
          </w:tcPr>
          <w:p>
            <w:pPr>
              <w:spacing w:after="0"/>
            </w:pPr>
            <w:r/>
            <w:r>
              <w:rPr>
                <w:sz w:val="15"/>
              </w:rPr>
              <w:t>19.1 %</w:t>
            </w:r>
          </w:p>
        </w:tc>
        <w:tc>
          <w:tcPr>
            <w:tcW w:type="dxa" w:w="707"/>
          </w:tcPr>
          <w:p>
            <w:pPr>
              <w:spacing w:after="0"/>
            </w:pPr>
            <w:r/>
            <w:r>
              <w:rPr>
                <w:sz w:val="15"/>
              </w:rPr>
              <w:t>9.5 M</w:t>
            </w:r>
          </w:p>
        </w:tc>
        <w:tc>
          <w:tcPr>
            <w:tcW w:type="dxa" w:w="1358"/>
          </w:tcPr>
          <w:p>
            <w:pPr>
              <w:spacing w:after="0"/>
            </w:pPr>
            <w:r/>
            <w:r>
              <w:rPr>
                <w:sz w:val="15"/>
              </w:rPr>
              <w:t>548</w:t>
            </w:r>
          </w:p>
        </w:tc>
      </w:tr>
      <w:tr>
        <w:tc>
          <w:tcPr>
            <w:tcW w:type="dxa" w:w="707"/>
          </w:tcPr>
          <w:p>
            <w:pPr>
              <w:spacing w:after="0"/>
            </w:pPr>
            <w:r/>
            <w:r>
              <w:rPr>
                <w:sz w:val="15"/>
              </w:rPr>
              <w:t>Mar</w:t>
            </w:r>
          </w:p>
        </w:tc>
        <w:tc>
          <w:tcPr>
            <w:tcW w:type="dxa" w:w="707"/>
          </w:tcPr>
          <w:p>
            <w:pPr>
              <w:spacing w:after="0"/>
            </w:pPr>
            <w:r/>
            <w:r>
              <w:rPr>
                <w:sz w:val="15"/>
              </w:rPr>
              <w:t>67.8 M</w:t>
            </w:r>
          </w:p>
        </w:tc>
        <w:tc>
          <w:tcPr>
            <w:tcW w:type="dxa" w:w="707"/>
          </w:tcPr>
          <w:p>
            <w:pPr>
              <w:spacing w:after="0"/>
            </w:pPr>
            <w:r/>
            <w:r>
              <w:rPr>
                <w:sz w:val="15"/>
              </w:rPr>
              <w:t>1.03 %</w:t>
            </w:r>
          </w:p>
        </w:tc>
        <w:tc>
          <w:tcPr>
            <w:tcW w:type="dxa" w:w="1482"/>
          </w:tcPr>
          <w:p>
            <w:pPr>
              <w:spacing w:after="0"/>
            </w:pPr>
            <w:r/>
            <w:r>
              <w:rPr>
                <w:sz w:val="15"/>
              </w:rPr>
              <w:t>1.44</w:t>
            </w:r>
          </w:p>
        </w:tc>
        <w:tc>
          <w:tcPr>
            <w:tcW w:type="dxa" w:w="802"/>
          </w:tcPr>
          <w:p>
            <w:pPr>
              <w:spacing w:after="0"/>
            </w:pPr>
            <w:r/>
            <w:r>
              <w:rPr>
                <w:sz w:val="15"/>
              </w:rPr>
              <w:t>1.81 %</w:t>
            </w:r>
          </w:p>
        </w:tc>
        <w:tc>
          <w:tcPr>
            <w:tcW w:type="dxa" w:w="1049"/>
          </w:tcPr>
          <w:p>
            <w:pPr>
              <w:spacing w:after="0"/>
            </w:pPr>
            <w:r/>
            <w:r>
              <w:rPr>
                <w:sz w:val="15"/>
              </w:rPr>
              <w:t>10.4 M</w:t>
            </w:r>
          </w:p>
        </w:tc>
        <w:tc>
          <w:tcPr>
            <w:tcW w:type="dxa" w:w="707"/>
          </w:tcPr>
          <w:p>
            <w:pPr>
              <w:spacing w:after="0"/>
            </w:pPr>
            <w:r/>
            <w:r>
              <w:rPr>
                <w:sz w:val="15"/>
              </w:rPr>
              <w:t>73.9 %</w:t>
            </w:r>
          </w:p>
        </w:tc>
        <w:tc>
          <w:tcPr>
            <w:tcW w:type="dxa" w:w="707"/>
          </w:tcPr>
          <w:p>
            <w:pPr>
              <w:spacing w:after="0"/>
            </w:pPr>
            <w:r/>
            <w:r>
              <w:rPr>
                <w:sz w:val="15"/>
              </w:rPr>
              <w:t>72.5 %</w:t>
            </w:r>
          </w:p>
        </w:tc>
        <w:tc>
          <w:tcPr>
            <w:tcW w:type="dxa" w:w="707"/>
          </w:tcPr>
          <w:p>
            <w:pPr>
              <w:spacing w:after="0"/>
            </w:pPr>
            <w:r/>
            <w:r>
              <w:rPr>
                <w:sz w:val="15"/>
              </w:rPr>
              <w:t>24.0 %</w:t>
            </w:r>
          </w:p>
        </w:tc>
        <w:tc>
          <w:tcPr>
            <w:tcW w:type="dxa" w:w="707"/>
          </w:tcPr>
          <w:p>
            <w:pPr>
              <w:spacing w:after="0"/>
            </w:pPr>
            <w:r/>
            <w:r>
              <w:rPr>
                <w:sz w:val="15"/>
              </w:rPr>
              <w:t>12.2 M</w:t>
            </w:r>
          </w:p>
        </w:tc>
        <w:tc>
          <w:tcPr>
            <w:tcW w:type="dxa" w:w="1358"/>
          </w:tcPr>
          <w:p>
            <w:pPr>
              <w:spacing w:after="0"/>
            </w:pPr>
            <w:r/>
            <w:r>
              <w:rPr>
                <w:sz w:val="15"/>
              </w:rPr>
              <w:t>475</w:t>
            </w:r>
          </w:p>
        </w:tc>
      </w:tr>
      <w:tr>
        <w:tc>
          <w:tcPr>
            <w:tcW w:type="dxa" w:w="707"/>
          </w:tcPr>
          <w:p>
            <w:pPr>
              <w:spacing w:after="0"/>
            </w:pPr>
            <w:r/>
            <w:r>
              <w:rPr>
                <w:sz w:val="15"/>
              </w:rPr>
              <w:t>Abr</w:t>
            </w:r>
          </w:p>
        </w:tc>
        <w:tc>
          <w:tcPr>
            <w:tcW w:type="dxa" w:w="707"/>
          </w:tcPr>
          <w:p>
            <w:pPr>
              <w:spacing w:after="0"/>
            </w:pPr>
            <w:r/>
            <w:r>
              <w:rPr>
                <w:sz w:val="15"/>
              </w:rPr>
              <w:t>64.3 M</w:t>
            </w:r>
          </w:p>
        </w:tc>
        <w:tc>
          <w:tcPr>
            <w:tcW w:type="dxa" w:w="707"/>
          </w:tcPr>
          <w:p>
            <w:pPr>
              <w:spacing w:after="0"/>
            </w:pPr>
            <w:r/>
            <w:r>
              <w:rPr>
                <w:sz w:val="15"/>
              </w:rPr>
              <w:t>0.98 %</w:t>
            </w:r>
          </w:p>
        </w:tc>
        <w:tc>
          <w:tcPr>
            <w:tcW w:type="dxa" w:w="1482"/>
          </w:tcPr>
          <w:p>
            <w:pPr>
              <w:spacing w:after="0"/>
            </w:pPr>
            <w:r/>
            <w:r>
              <w:rPr>
                <w:sz w:val="15"/>
              </w:rPr>
              <w:t>1.19</w:t>
            </w:r>
          </w:p>
        </w:tc>
        <w:tc>
          <w:tcPr>
            <w:tcW w:type="dxa" w:w="802"/>
          </w:tcPr>
          <w:p>
            <w:pPr>
              <w:spacing w:after="0"/>
            </w:pPr>
            <w:r/>
            <w:r>
              <w:rPr>
                <w:sz w:val="15"/>
              </w:rPr>
              <w:t>1.53 %</w:t>
            </w:r>
          </w:p>
        </w:tc>
        <w:tc>
          <w:tcPr>
            <w:tcW w:type="dxa" w:w="1049"/>
          </w:tcPr>
          <w:p>
            <w:pPr>
              <w:spacing w:after="0"/>
            </w:pPr>
            <w:r/>
            <w:r>
              <w:rPr>
                <w:sz w:val="15"/>
              </w:rPr>
              <w:t>5.9 M</w:t>
            </w:r>
          </w:p>
        </w:tc>
        <w:tc>
          <w:tcPr>
            <w:tcW w:type="dxa" w:w="707"/>
          </w:tcPr>
          <w:p>
            <w:pPr>
              <w:spacing w:after="0"/>
            </w:pPr>
            <w:r/>
            <w:r>
              <w:rPr>
                <w:sz w:val="15"/>
              </w:rPr>
              <w:t>69.3 %</w:t>
            </w:r>
          </w:p>
        </w:tc>
        <w:tc>
          <w:tcPr>
            <w:tcW w:type="dxa" w:w="707"/>
          </w:tcPr>
          <w:p>
            <w:pPr>
              <w:spacing w:after="0"/>
            </w:pPr>
            <w:r/>
            <w:r>
              <w:rPr>
                <w:sz w:val="15"/>
              </w:rPr>
              <w:t>65.6 %</w:t>
            </w:r>
          </w:p>
        </w:tc>
        <w:tc>
          <w:tcPr>
            <w:tcW w:type="dxa" w:w="707"/>
          </w:tcPr>
          <w:p>
            <w:pPr>
              <w:spacing w:after="0"/>
            </w:pPr>
            <w:r/>
            <w:r>
              <w:rPr>
                <w:sz w:val="15"/>
              </w:rPr>
              <w:t>36.0 %</w:t>
            </w:r>
          </w:p>
        </w:tc>
        <w:tc>
          <w:tcPr>
            <w:tcW w:type="dxa" w:w="707"/>
          </w:tcPr>
          <w:p>
            <w:pPr>
              <w:spacing w:after="0"/>
            </w:pPr>
            <w:r/>
            <w:r>
              <w:rPr>
                <w:sz w:val="15"/>
              </w:rPr>
              <w:t>7.6 M</w:t>
            </w:r>
          </w:p>
        </w:tc>
        <w:tc>
          <w:tcPr>
            <w:tcW w:type="dxa" w:w="1358"/>
          </w:tcPr>
          <w:p>
            <w:pPr>
              <w:spacing w:after="0"/>
            </w:pPr>
            <w:r/>
            <w:r>
              <w:rPr>
                <w:sz w:val="15"/>
              </w:rPr>
              <w:t>605</w:t>
            </w:r>
          </w:p>
        </w:tc>
      </w:tr>
      <w:tr>
        <w:tc>
          <w:tcPr>
            <w:tcW w:type="dxa" w:w="707"/>
          </w:tcPr>
          <w:p>
            <w:pPr>
              <w:spacing w:after="0"/>
            </w:pPr>
            <w:r/>
            <w:r>
              <w:rPr>
                <w:sz w:val="15"/>
              </w:rPr>
              <w:t>May</w:t>
            </w:r>
          </w:p>
        </w:tc>
        <w:tc>
          <w:tcPr>
            <w:tcW w:type="dxa" w:w="707"/>
          </w:tcPr>
          <w:p>
            <w:pPr>
              <w:spacing w:after="0"/>
            </w:pPr>
            <w:r/>
            <w:r>
              <w:rPr>
                <w:sz w:val="15"/>
              </w:rPr>
              <w:t>85.0 M</w:t>
            </w:r>
          </w:p>
        </w:tc>
        <w:tc>
          <w:tcPr>
            <w:tcW w:type="dxa" w:w="707"/>
          </w:tcPr>
          <w:p>
            <w:pPr>
              <w:spacing w:after="0"/>
            </w:pPr>
            <w:r/>
            <w:r>
              <w:rPr>
                <w:sz w:val="15"/>
              </w:rPr>
              <w:t>0.86 %</w:t>
            </w:r>
          </w:p>
        </w:tc>
        <w:tc>
          <w:tcPr>
            <w:tcW w:type="dxa" w:w="1482"/>
          </w:tcPr>
          <w:p>
            <w:pPr>
              <w:spacing w:after="0"/>
            </w:pPr>
            <w:r/>
            <w:r>
              <w:rPr>
                <w:sz w:val="15"/>
              </w:rPr>
              <w:t>0.99</w:t>
            </w:r>
          </w:p>
        </w:tc>
        <w:tc>
          <w:tcPr>
            <w:tcW w:type="dxa" w:w="802"/>
          </w:tcPr>
          <w:p>
            <w:pPr>
              <w:spacing w:after="0"/>
            </w:pPr>
            <w:r/>
            <w:r>
              <w:rPr>
                <w:sz w:val="15"/>
              </w:rPr>
              <w:t>1.28 %</w:t>
            </w:r>
          </w:p>
        </w:tc>
        <w:tc>
          <w:tcPr>
            <w:tcW w:type="dxa" w:w="1049"/>
          </w:tcPr>
          <w:p>
            <w:pPr>
              <w:spacing w:after="0"/>
            </w:pPr>
            <w:r/>
            <w:r>
              <w:rPr>
                <w:sz w:val="15"/>
              </w:rPr>
              <w:t>6.1 M</w:t>
            </w:r>
          </w:p>
        </w:tc>
        <w:tc>
          <w:tcPr>
            <w:tcW w:type="dxa" w:w="707"/>
          </w:tcPr>
          <w:p>
            <w:pPr>
              <w:spacing w:after="0"/>
            </w:pPr>
            <w:r/>
            <w:r>
              <w:rPr>
                <w:sz w:val="15"/>
              </w:rPr>
              <w:t>67.3 %</w:t>
            </w:r>
          </w:p>
        </w:tc>
        <w:tc>
          <w:tcPr>
            <w:tcW w:type="dxa" w:w="707"/>
          </w:tcPr>
          <w:p>
            <w:pPr>
              <w:spacing w:after="0"/>
            </w:pPr>
            <w:r/>
            <w:r>
              <w:rPr>
                <w:sz w:val="15"/>
              </w:rPr>
              <w:t>67.1 %</w:t>
            </w:r>
          </w:p>
        </w:tc>
        <w:tc>
          <w:tcPr>
            <w:tcW w:type="dxa" w:w="707"/>
          </w:tcPr>
          <w:p>
            <w:pPr>
              <w:spacing w:after="0"/>
            </w:pPr>
            <w:r/>
            <w:r>
              <w:rPr>
                <w:sz w:val="15"/>
              </w:rPr>
              <w:t>47.4 %</w:t>
            </w:r>
          </w:p>
        </w:tc>
        <w:tc>
          <w:tcPr>
            <w:tcW w:type="dxa" w:w="707"/>
          </w:tcPr>
          <w:p>
            <w:pPr>
              <w:spacing w:after="0"/>
            </w:pPr>
            <w:r/>
            <w:r>
              <w:rPr>
                <w:sz w:val="15"/>
              </w:rPr>
              <w:t>8.1 M</w:t>
            </w:r>
          </w:p>
        </w:tc>
        <w:tc>
          <w:tcPr>
            <w:tcW w:type="dxa" w:w="1358"/>
          </w:tcPr>
          <w:p>
            <w:pPr>
              <w:spacing w:after="0"/>
            </w:pPr>
            <w:r/>
            <w:r>
              <w:rPr>
                <w:sz w:val="15"/>
              </w:rPr>
              <w:t>632</w:t>
            </w:r>
          </w:p>
        </w:tc>
      </w:tr>
      <w:tr>
        <w:tc>
          <w:tcPr>
            <w:tcW w:type="dxa" w:w="707"/>
          </w:tcPr>
          <w:p>
            <w:pPr>
              <w:spacing w:after="0"/>
            </w:pPr>
            <w:r/>
            <w:r>
              <w:rPr>
                <w:sz w:val="15"/>
              </w:rPr>
              <w:t>Jun</w:t>
            </w:r>
          </w:p>
        </w:tc>
        <w:tc>
          <w:tcPr>
            <w:tcW w:type="dxa" w:w="707"/>
          </w:tcPr>
          <w:p>
            <w:pPr>
              <w:spacing w:after="0"/>
            </w:pPr>
            <w:r/>
            <w:r>
              <w:rPr>
                <w:sz w:val="15"/>
              </w:rPr>
              <w:t>109.0 M</w:t>
            </w:r>
          </w:p>
        </w:tc>
        <w:tc>
          <w:tcPr>
            <w:tcW w:type="dxa" w:w="707"/>
          </w:tcPr>
          <w:p>
            <w:pPr>
              <w:spacing w:after="0"/>
            </w:pPr>
            <w:r/>
            <w:r>
              <w:rPr>
                <w:sz w:val="15"/>
              </w:rPr>
              <w:t>0.67 %</w:t>
            </w:r>
          </w:p>
        </w:tc>
        <w:tc>
          <w:tcPr>
            <w:tcW w:type="dxa" w:w="1482"/>
          </w:tcPr>
          <w:p>
            <w:pPr>
              <w:spacing w:after="0"/>
            </w:pPr>
            <w:r/>
            <w:r>
              <w:rPr>
                <w:sz w:val="15"/>
              </w:rPr>
              <w:t>1.34</w:t>
            </w:r>
          </w:p>
        </w:tc>
        <w:tc>
          <w:tcPr>
            <w:tcW w:type="dxa" w:w="802"/>
          </w:tcPr>
          <w:p>
            <w:pPr>
              <w:spacing w:after="0"/>
            </w:pPr>
            <w:r/>
            <w:r>
              <w:rPr>
                <w:sz w:val="15"/>
              </w:rPr>
              <w:t>1.05 %</w:t>
            </w:r>
          </w:p>
        </w:tc>
        <w:tc>
          <w:tcPr>
            <w:tcW w:type="dxa" w:w="1049"/>
          </w:tcPr>
          <w:p>
            <w:pPr>
              <w:spacing w:after="0"/>
            </w:pPr>
            <w:r/>
            <w:r>
              <w:rPr>
                <w:sz w:val="15"/>
              </w:rPr>
              <w:t>7.1 M</w:t>
            </w:r>
          </w:p>
        </w:tc>
        <w:tc>
          <w:tcPr>
            <w:tcW w:type="dxa" w:w="707"/>
          </w:tcPr>
          <w:p>
            <w:pPr>
              <w:spacing w:after="0"/>
            </w:pPr>
            <w:r/>
            <w:r>
              <w:rPr>
                <w:sz w:val="15"/>
              </w:rPr>
              <w:t>74.3 %</w:t>
            </w:r>
          </w:p>
        </w:tc>
        <w:tc>
          <w:tcPr>
            <w:tcW w:type="dxa" w:w="707"/>
          </w:tcPr>
          <w:p>
            <w:pPr>
              <w:spacing w:after="0"/>
            </w:pPr>
            <w:r/>
            <w:r>
              <w:rPr>
                <w:sz w:val="15"/>
              </w:rPr>
              <w:t>67.4 %</w:t>
            </w:r>
          </w:p>
        </w:tc>
        <w:tc>
          <w:tcPr>
            <w:tcW w:type="dxa" w:w="707"/>
          </w:tcPr>
          <w:p>
            <w:pPr>
              <w:spacing w:after="0"/>
            </w:pPr>
            <w:r/>
            <w:r>
              <w:rPr>
                <w:sz w:val="15"/>
              </w:rPr>
              <w:t>45.4 %</w:t>
            </w:r>
          </w:p>
        </w:tc>
        <w:tc>
          <w:tcPr>
            <w:tcW w:type="dxa" w:w="707"/>
          </w:tcPr>
          <w:p>
            <w:pPr>
              <w:spacing w:after="0"/>
            </w:pPr>
            <w:r/>
            <w:r>
              <w:rPr>
                <w:sz w:val="15"/>
              </w:rPr>
              <w:t>9.7 M</w:t>
            </w:r>
          </w:p>
        </w:tc>
        <w:tc>
          <w:tcPr>
            <w:tcW w:type="dxa" w:w="1358"/>
          </w:tcPr>
          <w:p>
            <w:pPr>
              <w:spacing w:after="0"/>
            </w:pPr>
            <w:r/>
            <w:r>
              <w:rPr>
                <w:sz w:val="15"/>
              </w:rPr>
              <w:t>574</w:t>
            </w:r>
          </w:p>
        </w:tc>
      </w:tr>
      <w:tr>
        <w:tc>
          <w:tcPr>
            <w:tcW w:type="dxa" w:w="707"/>
          </w:tcPr>
          <w:p>
            <w:pPr>
              <w:spacing w:after="0"/>
            </w:pPr>
            <w:r/>
            <w:r>
              <w:rPr>
                <w:sz w:val="15"/>
              </w:rPr>
              <w:t>Jul</w:t>
            </w:r>
          </w:p>
        </w:tc>
        <w:tc>
          <w:tcPr>
            <w:tcW w:type="dxa" w:w="707"/>
          </w:tcPr>
          <w:p>
            <w:pPr>
              <w:spacing w:after="0"/>
            </w:pPr>
            <w:r/>
            <w:r>
              <w:rPr>
                <w:sz w:val="15"/>
              </w:rPr>
              <w:t>71.7 M</w:t>
            </w:r>
          </w:p>
        </w:tc>
        <w:tc>
          <w:tcPr>
            <w:tcW w:type="dxa" w:w="707"/>
          </w:tcPr>
          <w:p>
            <w:pPr>
              <w:spacing w:after="0"/>
            </w:pPr>
            <w:r/>
            <w:r>
              <w:rPr>
                <w:sz w:val="15"/>
              </w:rPr>
              <w:t>1.00 %</w:t>
            </w:r>
          </w:p>
        </w:tc>
        <w:tc>
          <w:tcPr>
            <w:tcW w:type="dxa" w:w="1482"/>
          </w:tcPr>
          <w:p>
            <w:pPr>
              <w:spacing w:after="0"/>
            </w:pPr>
            <w:r/>
            <w:r>
              <w:rPr>
                <w:sz w:val="15"/>
              </w:rPr>
              <w:t>1.71</w:t>
            </w:r>
          </w:p>
        </w:tc>
        <w:tc>
          <w:tcPr>
            <w:tcW w:type="dxa" w:w="802"/>
          </w:tcPr>
          <w:p>
            <w:pPr>
              <w:spacing w:after="0"/>
            </w:pPr>
            <w:r/>
            <w:r>
              <w:rPr>
                <w:sz w:val="15"/>
              </w:rPr>
              <w:t>1.77 %</w:t>
            </w:r>
          </w:p>
        </w:tc>
        <w:tc>
          <w:tcPr>
            <w:tcW w:type="dxa" w:w="1049"/>
          </w:tcPr>
          <w:p>
            <w:pPr>
              <w:spacing w:after="0"/>
            </w:pPr>
            <w:r/>
            <w:r>
              <w:rPr>
                <w:sz w:val="15"/>
              </w:rPr>
              <w:t>4.8 M</w:t>
            </w:r>
          </w:p>
        </w:tc>
        <w:tc>
          <w:tcPr>
            <w:tcW w:type="dxa" w:w="707"/>
          </w:tcPr>
          <w:p>
            <w:pPr>
              <w:spacing w:after="0"/>
            </w:pPr>
            <w:r/>
            <w:r>
              <w:rPr>
                <w:sz w:val="15"/>
              </w:rPr>
              <w:t>72.9 %</w:t>
            </w:r>
          </w:p>
        </w:tc>
        <w:tc>
          <w:tcPr>
            <w:tcW w:type="dxa" w:w="707"/>
          </w:tcPr>
          <w:p>
            <w:pPr>
              <w:spacing w:after="0"/>
            </w:pPr>
            <w:r/>
            <w:r>
              <w:rPr>
                <w:sz w:val="15"/>
              </w:rPr>
              <w:t>62.5 %</w:t>
            </w:r>
          </w:p>
        </w:tc>
        <w:tc>
          <w:tcPr>
            <w:tcW w:type="dxa" w:w="707"/>
          </w:tcPr>
          <w:p>
            <w:pPr>
              <w:spacing w:after="0"/>
            </w:pPr>
            <w:r/>
            <w:r>
              <w:rPr>
                <w:sz w:val="15"/>
              </w:rPr>
              <w:t>37.0 %</w:t>
            </w:r>
          </w:p>
        </w:tc>
        <w:tc>
          <w:tcPr>
            <w:tcW w:type="dxa" w:w="707"/>
          </w:tcPr>
          <w:p>
            <w:pPr>
              <w:spacing w:after="0"/>
            </w:pPr>
            <w:r/>
            <w:r>
              <w:rPr>
                <w:sz w:val="15"/>
              </w:rPr>
              <w:t>6.4 M</w:t>
            </w:r>
          </w:p>
        </w:tc>
        <w:tc>
          <w:tcPr>
            <w:tcW w:type="dxa" w:w="1358"/>
          </w:tcPr>
          <w:p>
            <w:pPr>
              <w:spacing w:after="0"/>
            </w:pPr>
            <w:r/>
            <w:r>
              <w:rPr>
                <w:sz w:val="15"/>
              </w:rPr>
              <w:t>494</w:t>
            </w:r>
          </w:p>
        </w:tc>
      </w:tr>
      <w:tr>
        <w:tc>
          <w:tcPr>
            <w:tcW w:type="dxa" w:w="707"/>
          </w:tcPr>
          <w:p>
            <w:pPr>
              <w:spacing w:after="0"/>
            </w:pPr>
            <w:r/>
            <w:r>
              <w:rPr>
                <w:sz w:val="15"/>
              </w:rPr>
              <w:t>Ago</w:t>
            </w:r>
          </w:p>
        </w:tc>
        <w:tc>
          <w:tcPr>
            <w:tcW w:type="dxa" w:w="707"/>
          </w:tcPr>
          <w:p>
            <w:pPr>
              <w:spacing w:after="0"/>
            </w:pPr>
            <w:r/>
            <w:r>
              <w:rPr>
                <w:sz w:val="15"/>
              </w:rPr>
              <w:t>78.0 M</w:t>
            </w:r>
          </w:p>
        </w:tc>
        <w:tc>
          <w:tcPr>
            <w:tcW w:type="dxa" w:w="707"/>
          </w:tcPr>
          <w:p>
            <w:pPr>
              <w:spacing w:after="0"/>
            </w:pPr>
            <w:r/>
            <w:r>
              <w:rPr>
                <w:sz w:val="15"/>
              </w:rPr>
              <w:t>0.95 %</w:t>
            </w:r>
          </w:p>
        </w:tc>
        <w:tc>
          <w:tcPr>
            <w:tcW w:type="dxa" w:w="1482"/>
          </w:tcPr>
          <w:p>
            <w:pPr>
              <w:spacing w:after="0"/>
            </w:pPr>
            <w:r/>
            <w:r>
              <w:rPr>
                <w:sz w:val="15"/>
              </w:rPr>
              <w:t>1.51</w:t>
            </w:r>
          </w:p>
        </w:tc>
        <w:tc>
          <w:tcPr>
            <w:tcW w:type="dxa" w:w="802"/>
          </w:tcPr>
          <w:p>
            <w:pPr>
              <w:spacing w:after="0"/>
            </w:pPr>
            <w:r/>
            <w:r>
              <w:rPr>
                <w:sz w:val="15"/>
              </w:rPr>
              <w:t>1.57 %</w:t>
            </w:r>
          </w:p>
        </w:tc>
        <w:tc>
          <w:tcPr>
            <w:tcW w:type="dxa" w:w="1049"/>
          </w:tcPr>
          <w:p>
            <w:pPr>
              <w:spacing w:after="0"/>
            </w:pPr>
            <w:r/>
            <w:r>
              <w:rPr>
                <w:sz w:val="15"/>
              </w:rPr>
              <w:t>4.4 M</w:t>
            </w:r>
          </w:p>
        </w:tc>
        <w:tc>
          <w:tcPr>
            <w:tcW w:type="dxa" w:w="707"/>
          </w:tcPr>
          <w:p>
            <w:pPr>
              <w:spacing w:after="0"/>
            </w:pPr>
            <w:r/>
            <w:r>
              <w:rPr>
                <w:sz w:val="15"/>
              </w:rPr>
              <w:t>78.0 %</w:t>
            </w:r>
          </w:p>
        </w:tc>
        <w:tc>
          <w:tcPr>
            <w:tcW w:type="dxa" w:w="707"/>
          </w:tcPr>
          <w:p>
            <w:pPr>
              <w:spacing w:after="0"/>
            </w:pPr>
            <w:r/>
            <w:r>
              <w:rPr>
                <w:sz w:val="15"/>
              </w:rPr>
              <w:t>63.6 %</w:t>
            </w:r>
          </w:p>
        </w:tc>
        <w:tc>
          <w:tcPr>
            <w:tcW w:type="dxa" w:w="707"/>
          </w:tcPr>
          <w:p>
            <w:pPr>
              <w:spacing w:after="0"/>
            </w:pPr>
            <w:r/>
            <w:r>
              <w:rPr>
                <w:sz w:val="15"/>
              </w:rPr>
              <w:t>41.5 %</w:t>
            </w:r>
          </w:p>
        </w:tc>
        <w:tc>
          <w:tcPr>
            <w:tcW w:type="dxa" w:w="707"/>
          </w:tcPr>
          <w:p>
            <w:pPr>
              <w:spacing w:after="0"/>
            </w:pPr>
            <w:r/>
            <w:r>
              <w:rPr>
                <w:sz w:val="15"/>
              </w:rPr>
              <w:t>6.1 M</w:t>
            </w:r>
          </w:p>
        </w:tc>
        <w:tc>
          <w:tcPr>
            <w:tcW w:type="dxa" w:w="1358"/>
          </w:tcPr>
          <w:p>
            <w:pPr>
              <w:spacing w:after="0"/>
            </w:pPr>
            <w:r/>
            <w:r>
              <w:rPr>
                <w:sz w:val="15"/>
              </w:rPr>
              <w:t>597</w:t>
            </w:r>
          </w:p>
        </w:tc>
      </w:tr>
      <w:tr>
        <w:tc>
          <w:tcPr>
            <w:tcW w:type="dxa" w:w="707"/>
          </w:tcPr>
          <w:p>
            <w:pPr>
              <w:spacing w:after="0"/>
            </w:pPr>
            <w:r/>
            <w:r>
              <w:rPr>
                <w:sz w:val="15"/>
              </w:rPr>
              <w:t>Sep</w:t>
            </w:r>
          </w:p>
        </w:tc>
        <w:tc>
          <w:tcPr>
            <w:tcW w:type="dxa" w:w="707"/>
          </w:tcPr>
          <w:p>
            <w:pPr>
              <w:spacing w:after="0"/>
            </w:pPr>
            <w:r/>
            <w:r>
              <w:rPr>
                <w:sz w:val="15"/>
              </w:rPr>
              <w:t>65.6 M</w:t>
            </w:r>
          </w:p>
        </w:tc>
        <w:tc>
          <w:tcPr>
            <w:tcW w:type="dxa" w:w="707"/>
          </w:tcPr>
          <w:p>
            <w:pPr>
              <w:spacing w:after="0"/>
            </w:pPr>
            <w:r/>
            <w:r>
              <w:rPr>
                <w:sz w:val="15"/>
              </w:rPr>
              <w:t>0.92 %</w:t>
            </w:r>
          </w:p>
        </w:tc>
        <w:tc>
          <w:tcPr>
            <w:tcW w:type="dxa" w:w="1482"/>
          </w:tcPr>
          <w:p>
            <w:pPr>
              <w:spacing w:after="0"/>
            </w:pPr>
            <w:r/>
            <w:r>
              <w:rPr>
                <w:sz w:val="15"/>
              </w:rPr>
              <w:t>1.09</w:t>
            </w:r>
          </w:p>
        </w:tc>
        <w:tc>
          <w:tcPr>
            <w:tcW w:type="dxa" w:w="802"/>
          </w:tcPr>
          <w:p>
            <w:pPr>
              <w:spacing w:after="0"/>
            </w:pPr>
            <w:r/>
            <w:r>
              <w:rPr>
                <w:sz w:val="15"/>
              </w:rPr>
              <w:t>2.12 %</w:t>
            </w:r>
          </w:p>
        </w:tc>
        <w:tc>
          <w:tcPr>
            <w:tcW w:type="dxa" w:w="1049"/>
          </w:tcPr>
          <w:p>
            <w:pPr>
              <w:spacing w:after="0"/>
            </w:pPr>
            <w:r/>
            <w:r>
              <w:rPr>
                <w:sz w:val="15"/>
              </w:rPr>
              <w:t>3.2 M</w:t>
            </w:r>
          </w:p>
        </w:tc>
        <w:tc>
          <w:tcPr>
            <w:tcW w:type="dxa" w:w="707"/>
          </w:tcPr>
          <w:p>
            <w:pPr>
              <w:spacing w:after="0"/>
            </w:pPr>
            <w:r/>
            <w:r>
              <w:rPr>
                <w:sz w:val="15"/>
              </w:rPr>
              <w:t>77.3 %</w:t>
            </w:r>
          </w:p>
        </w:tc>
        <w:tc>
          <w:tcPr>
            <w:tcW w:type="dxa" w:w="707"/>
          </w:tcPr>
          <w:p>
            <w:pPr>
              <w:spacing w:after="0"/>
            </w:pPr>
            <w:r/>
            <w:r>
              <w:rPr>
                <w:sz w:val="15"/>
              </w:rPr>
              <w:t>64.1 %</w:t>
            </w:r>
          </w:p>
        </w:tc>
        <w:tc>
          <w:tcPr>
            <w:tcW w:type="dxa" w:w="707"/>
          </w:tcPr>
          <w:p>
            <w:pPr>
              <w:spacing w:after="0"/>
            </w:pPr>
            <w:r/>
            <w:r>
              <w:rPr>
                <w:sz w:val="15"/>
              </w:rPr>
              <w:t>41.5 %</w:t>
            </w:r>
          </w:p>
        </w:tc>
        <w:tc>
          <w:tcPr>
            <w:tcW w:type="dxa" w:w="707"/>
          </w:tcPr>
          <w:p>
            <w:pPr>
              <w:spacing w:after="0"/>
            </w:pPr>
            <w:r/>
            <w:r>
              <w:rPr>
                <w:sz w:val="15"/>
              </w:rPr>
              <w:t>5.0 M</w:t>
            </w:r>
          </w:p>
        </w:tc>
        <w:tc>
          <w:tcPr>
            <w:tcW w:type="dxa" w:w="1358"/>
          </w:tcPr>
          <w:p>
            <w:pPr>
              <w:spacing w:after="0"/>
            </w:pPr>
            <w:r/>
            <w:r>
              <w:rPr>
                <w:sz w:val="15"/>
              </w:rPr>
              <w:t>567</w:t>
            </w:r>
          </w:p>
        </w:tc>
      </w:tr>
    </w:tbl>
    <w:p>
      <w:pPr>
        <w:spacing w:after="40"/>
      </w:pPr>
    </w:p>
    <w:p>
      <w:pPr>
        <w:spacing w:after="120"/>
      </w:pPr>
      <w:r>
        <w:t>(Las bajas por mil de esta tabla son usuarios únicos por mes sobre entregados; la cifra 3.13 del estándar es eventos sobre entregados en todo el periodo.)</w:t>
      </w:r>
    </w:p>
    <w:p>
      <w:pPr>
        <w:spacing w:after="120"/>
      </w:pPr>
      <w:r>
        <w:t>Qué dice:</w:t>
      </w:r>
    </w:p>
    <w:p>
      <w:pPr>
        <w:pStyle w:val="ListBullet"/>
      </w:pPr>
      <w:r>
        <w:rPr>
          <w:b/>
        </w:rPr>
        <w:t>Junio</w:t>
      </w:r>
      <w:r>
        <w:t xml:space="preserve"> es el peor mes: 109 M envíos (el doble de enero), apertura de email 18.1 %, clic 0.67 %, push 1.05 %, 63 mil bajas (13.9 % de las del año). Es el mes del envío de BillPay a 16.1 M usuarios y del lanzamiento con dos equipos pisándose (AnotayGana de Lending y BillPay Intro de NewProducts el mismo día en 1.23 M usuarios). El volumen extra no trajo respuesta extra.</w:t>
      </w:r>
    </w:p>
    <w:p>
      <w:pPr>
        <w:pStyle w:val="ListBullet"/>
      </w:pPr>
      <w:r>
        <w:rPr>
          <w:b/>
        </w:rPr>
        <w:t>Enero</w:t>
      </w:r>
      <w:r>
        <w:t xml:space="preserve"> tiene el clic más alto (1.20 %) y también la tasa de bajas más alta (2.15 por mil, 69 mil bajas, 15.1 % del año): arranque de año con muchas piezas nuevas (CuestaEnero, Tasa 0) sobre bases que no habían recibido en diciembre.</w:t>
      </w:r>
    </w:p>
    <w:p>
      <w:pPr>
        <w:pStyle w:val="ListBullet"/>
      </w:pPr>
      <w:r>
        <w:rPr>
          <w:b/>
        </w:rPr>
        <w:t>Marzo</w:t>
      </w:r>
      <w:r>
        <w:t xml:space="preserve"> es el mes más caro (12.2 M MXN) por 10.4 M WhatsApp, con la entrega ya cayendo (73.9 %).</w:t>
      </w:r>
    </w:p>
    <w:p>
      <w:pPr>
        <w:pStyle w:val="ListBullet"/>
      </w:pPr>
      <w:r>
        <w:rPr>
          <w:b/>
        </w:rPr>
        <w:t>Abril y mayo</w:t>
      </w:r>
      <w:r>
        <w:t xml:space="preserve"> son el piso de entrega de WhatsApp (69 % y 67 %): la base se degradó y se siguió mandando. Se recuperó a 77 a 78 % cuando bajó el volumen (agosto y septiembre, 3 a 4 M).</w:t>
      </w:r>
    </w:p>
    <w:p>
      <w:pPr>
        <w:pStyle w:val="ListBullet"/>
      </w:pPr>
      <w:r>
        <w:rPr>
          <w:b/>
        </w:rPr>
        <w:t>Mayo, junio y agosto</w:t>
      </w:r>
      <w:r>
        <w:t xml:space="preserve"> son los meses de más solape (1.9 M, 2.3 M y 2.1 M usuarios con un día de 3 o más campañas): Hot Sale, BillPay y regreso a clases.</w:t>
      </w:r>
    </w:p>
    <w:p>
      <w:pPr>
        <w:pStyle w:val="ListBullet"/>
      </w:pPr>
      <w:r>
        <w:rPr>
          <w:b/>
        </w:rPr>
        <w:t>Septiembre</w:t>
      </w:r>
      <w:r>
        <w:t xml:space="preserve"> es el mejor push del año (2.12 %) con el menor volumen de push desde marzo (24 M): menos push, más apertura.</w:t>
      </w:r>
    </w:p>
    <w:p>
      <w:pPr>
        <w:pStyle w:val="ListBullet"/>
      </w:pPr>
      <w:r>
        <w:t>Las comunicaciones activas van de 475 a 632 al mes. No hay estacionalidad en la cantidad; la hay en el volumen por pieza.</w:t>
      </w:r>
    </w:p>
    <w:p>
      <w:pPr>
        <w:spacing w:after="120"/>
      </w:pPr>
      <w:r>
        <w:t>Reglas de calendario:</w:t>
      </w:r>
    </w:p>
    <w:p>
      <w:pPr>
        <w:pStyle w:val="ListBullet"/>
      </w:pPr>
      <w:r>
        <w:t>Los meses con evento comercial (Hot Sale en mayo, regreso a clases en agosto, Buen Fin en noviembre, Cuesta de enero) se planean con un calendario único (D5): una pieza por equipo y canal, y el tope de 2 familias por usuario al día aplica igual.</w:t>
      </w:r>
    </w:p>
    <w:p>
      <w:pPr>
        <w:pStyle w:val="ListBullet"/>
      </w:pPr>
      <w:r>
        <w:t>Ningún lanzamiento de producto se manda a toda la base en el mismo mes que un evento comercial. BillPay en junio con Hot Sale encima explica el peor mes del año.</w:t>
      </w:r>
    </w:p>
    <w:p>
      <w:pPr>
        <w:pStyle w:val="ListBullet"/>
      </w:pPr>
      <w:r>
        <w:t>Cuando la entrega de WhatsApp de un mes baja de 75 %, el mes siguiente no sube el volumen hasta limpiar la base.</w:t>
      </w:r>
    </w:p>
    <w:p>
      <w:pPr>
        <w:pStyle w:val="ListBullet"/>
      </w:pPr>
      <w:r>
        <w:t>El volumen de push de un mes no debe superar 1.3 veces el promedio de los tres anteriores sin aprobación de CRM. Junio (46.8 M) fue 1.8 veces el promedio.</w:t>
      </w:r>
    </w:p>
    <w:p>
      <w:pPr>
        <w:pStyle w:val="ListBullet"/>
      </w:pPr>
      <w:r>
        <w:t>El día de la semana y la hora quedan pendientes (E10; la hora no está en las tablas).</w:t>
      </w:r>
    </w:p>
    <w:p>
      <w:pPr>
        <w:pStyle w:val="Heading2"/>
      </w:pPr>
      <w:r>
        <w:t>C5. Por producto</w:t>
      </w:r>
    </w:p>
    <w:p>
      <w:pPr>
        <w:spacing w:after="120"/>
      </w:pPr>
      <w:r>
        <w:t>Cifras (Campañas filtrada por producto):</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2865"/>
            <w:shd w:val="clear" w:color="auto" w:fill="E8EEF4"/>
          </w:tcPr>
          <w:p>
            <w:pPr>
              <w:spacing w:after="0"/>
            </w:pPr>
            <w:r>
              <w:rPr>
                <w:b/>
              </w:rPr>
            </w:r>
            <w:r>
              <w:rPr>
                <w:b/>
                <w:sz w:val="15"/>
              </w:rPr>
              <w:t>Producto</w:t>
            </w:r>
          </w:p>
        </w:tc>
        <w:tc>
          <w:tcPr>
            <w:tcW w:type="dxa" w:w="729"/>
            <w:shd w:val="clear" w:color="auto" w:fill="E8EEF4"/>
          </w:tcPr>
          <w:p>
            <w:pPr>
              <w:spacing w:after="0"/>
            </w:pPr>
            <w:r>
              <w:rPr>
                <w:b/>
              </w:rPr>
            </w:r>
            <w:r>
              <w:rPr>
                <w:b/>
                <w:sz w:val="15"/>
              </w:rPr>
              <w:t>Familias</w:t>
            </w:r>
          </w:p>
        </w:tc>
        <w:tc>
          <w:tcPr>
            <w:tcW w:type="dxa" w:w="729"/>
            <w:shd w:val="clear" w:color="auto" w:fill="E8EEF4"/>
          </w:tcPr>
          <w:p>
            <w:pPr>
              <w:spacing w:after="0"/>
            </w:pPr>
            <w:r>
              <w:rPr>
                <w:b/>
              </w:rPr>
            </w:r>
            <w:r>
              <w:rPr>
                <w:b/>
                <w:sz w:val="15"/>
              </w:rPr>
              <w:t>Envíos</w:t>
            </w:r>
          </w:p>
        </w:tc>
        <w:tc>
          <w:tcPr>
            <w:tcW w:type="dxa" w:w="729"/>
            <w:shd w:val="clear" w:color="auto" w:fill="E8EEF4"/>
          </w:tcPr>
          <w:p>
            <w:pPr>
              <w:spacing w:after="0"/>
            </w:pPr>
            <w:r>
              <w:rPr>
                <w:b/>
              </w:rPr>
            </w:r>
            <w:r>
              <w:rPr>
                <w:b/>
                <w:sz w:val="15"/>
              </w:rPr>
              <w:t>Costo MXN</w:t>
            </w:r>
          </w:p>
        </w:tc>
        <w:tc>
          <w:tcPr>
            <w:tcW w:type="dxa" w:w="729"/>
            <w:shd w:val="clear" w:color="auto" w:fill="E8EEF4"/>
          </w:tcPr>
          <w:p>
            <w:pPr>
              <w:spacing w:after="0"/>
            </w:pPr>
            <w:r>
              <w:rPr>
                <w:b/>
              </w:rPr>
            </w:r>
            <w:r>
              <w:rPr>
                <w:b/>
                <w:sz w:val="15"/>
              </w:rPr>
              <w:t>Email clic</w:t>
            </w:r>
          </w:p>
        </w:tc>
        <w:tc>
          <w:tcPr>
            <w:tcW w:type="dxa" w:w="847"/>
            <w:shd w:val="clear" w:color="auto" w:fill="E8EEF4"/>
          </w:tcPr>
          <w:p>
            <w:pPr>
              <w:spacing w:after="0"/>
            </w:pPr>
            <w:r>
              <w:rPr>
                <w:b/>
              </w:rPr>
            </w:r>
            <w:r>
              <w:rPr>
                <w:b/>
                <w:sz w:val="15"/>
              </w:rPr>
              <w:t>Bajas por mil</w:t>
            </w:r>
          </w:p>
        </w:tc>
        <w:tc>
          <w:tcPr>
            <w:tcW w:type="dxa" w:w="847"/>
            <w:shd w:val="clear" w:color="auto" w:fill="E8EEF4"/>
          </w:tcPr>
          <w:p>
            <w:pPr>
              <w:spacing w:after="0"/>
            </w:pPr>
            <w:r>
              <w:rPr>
                <w:b/>
              </w:rPr>
            </w:r>
            <w:r>
              <w:rPr>
                <w:b/>
                <w:sz w:val="15"/>
              </w:rPr>
              <w:t>Push apertura</w:t>
            </w:r>
          </w:p>
        </w:tc>
        <w:tc>
          <w:tcPr>
            <w:tcW w:type="dxa" w:w="729"/>
            <w:shd w:val="clear" w:color="auto" w:fill="E8EEF4"/>
          </w:tcPr>
          <w:p>
            <w:pPr>
              <w:spacing w:after="0"/>
            </w:pPr>
            <w:r>
              <w:rPr>
                <w:b/>
              </w:rPr>
            </w:r>
            <w:r>
              <w:rPr>
                <w:b/>
                <w:sz w:val="15"/>
              </w:rPr>
              <w:t>WA lectura</w:t>
            </w:r>
          </w:p>
        </w:tc>
        <w:tc>
          <w:tcPr>
            <w:tcW w:type="dxa" w:w="1433"/>
            <w:shd w:val="clear" w:color="auto" w:fill="E8EEF4"/>
          </w:tcPr>
          <w:p>
            <w:pPr>
              <w:spacing w:after="0"/>
            </w:pPr>
            <w:r>
              <w:rPr>
                <w:b/>
              </w:rPr>
            </w:r>
            <w:r>
              <w:rPr>
                <w:b/>
                <w:sz w:val="15"/>
              </w:rPr>
              <w:t>Ahorro estimado al mes</w:t>
            </w:r>
          </w:p>
        </w:tc>
      </w:tr>
      <w:tr>
        <w:tc>
          <w:tcPr>
            <w:tcW w:type="dxa" w:w="2865"/>
          </w:tcPr>
          <w:p>
            <w:pPr>
              <w:spacing w:after="0"/>
            </w:pPr>
            <w:r/>
            <w:r>
              <w:rPr>
                <w:sz w:val="15"/>
              </w:rPr>
              <w:t>KCash</w:t>
            </w:r>
          </w:p>
        </w:tc>
        <w:tc>
          <w:tcPr>
            <w:tcW w:type="dxa" w:w="729"/>
          </w:tcPr>
          <w:p>
            <w:pPr>
              <w:spacing w:after="0"/>
            </w:pPr>
            <w:r/>
            <w:r>
              <w:rPr>
                <w:sz w:val="15"/>
              </w:rPr>
              <w:t>543</w:t>
            </w:r>
          </w:p>
        </w:tc>
        <w:tc>
          <w:tcPr>
            <w:tcW w:type="dxa" w:w="729"/>
          </w:tcPr>
          <w:p>
            <w:pPr>
              <w:spacing w:after="0"/>
            </w:pPr>
            <w:r/>
            <w:r>
              <w:rPr>
                <w:sz w:val="15"/>
              </w:rPr>
              <w:t>318.7 M</w:t>
            </w:r>
          </w:p>
        </w:tc>
        <w:tc>
          <w:tcPr>
            <w:tcW w:type="dxa" w:w="729"/>
          </w:tcPr>
          <w:p>
            <w:pPr>
              <w:spacing w:after="0"/>
            </w:pPr>
            <w:r/>
            <w:r>
              <w:rPr>
                <w:sz w:val="15"/>
              </w:rPr>
              <w:t>33.7 M</w:t>
            </w:r>
          </w:p>
        </w:tc>
        <w:tc>
          <w:tcPr>
            <w:tcW w:type="dxa" w:w="729"/>
          </w:tcPr>
          <w:p>
            <w:pPr>
              <w:spacing w:after="0"/>
            </w:pPr>
            <w:r/>
            <w:r>
              <w:rPr>
                <w:sz w:val="15"/>
              </w:rPr>
              <w:t>0.82 %</w:t>
            </w:r>
          </w:p>
        </w:tc>
        <w:tc>
          <w:tcPr>
            <w:tcW w:type="dxa" w:w="847"/>
          </w:tcPr>
          <w:p>
            <w:pPr>
              <w:spacing w:after="0"/>
            </w:pPr>
            <w:r/>
            <w:r>
              <w:rPr>
                <w:sz w:val="15"/>
              </w:rPr>
              <w:t>3.27</w:t>
            </w:r>
          </w:p>
        </w:tc>
        <w:tc>
          <w:tcPr>
            <w:tcW w:type="dxa" w:w="847"/>
          </w:tcPr>
          <w:p>
            <w:pPr>
              <w:spacing w:after="0"/>
            </w:pPr>
            <w:r/>
            <w:r>
              <w:rPr>
                <w:sz w:val="15"/>
              </w:rPr>
              <w:t>1.80 %</w:t>
            </w:r>
          </w:p>
        </w:tc>
        <w:tc>
          <w:tcPr>
            <w:tcW w:type="dxa" w:w="729"/>
          </w:tcPr>
          <w:p>
            <w:pPr>
              <w:spacing w:after="0"/>
            </w:pPr>
            <w:r/>
            <w:r>
              <w:rPr>
                <w:sz w:val="15"/>
              </w:rPr>
              <w:t>68.9 %</w:t>
            </w:r>
          </w:p>
        </w:tc>
        <w:tc>
          <w:tcPr>
            <w:tcW w:type="dxa" w:w="1433"/>
          </w:tcPr>
          <w:p>
            <w:pPr>
              <w:spacing w:after="0"/>
            </w:pPr>
            <w:r/>
            <w:r>
              <w:rPr>
                <w:sz w:val="15"/>
              </w:rPr>
              <w:t>629,234</w:t>
            </w:r>
          </w:p>
        </w:tc>
      </w:tr>
      <w:tr>
        <w:tc>
          <w:tcPr>
            <w:tcW w:type="dxa" w:w="2865"/>
          </w:tcPr>
          <w:p>
            <w:pPr>
              <w:spacing w:after="0"/>
            </w:pPr>
            <w:r/>
            <w:r>
              <w:rPr>
                <w:sz w:val="15"/>
              </w:rPr>
              <w:t>KPay</w:t>
            </w:r>
          </w:p>
        </w:tc>
        <w:tc>
          <w:tcPr>
            <w:tcW w:type="dxa" w:w="729"/>
          </w:tcPr>
          <w:p>
            <w:pPr>
              <w:spacing w:after="0"/>
            </w:pPr>
            <w:r/>
            <w:r>
              <w:rPr>
                <w:sz w:val="15"/>
              </w:rPr>
              <w:t>985</w:t>
            </w:r>
          </w:p>
        </w:tc>
        <w:tc>
          <w:tcPr>
            <w:tcW w:type="dxa" w:w="729"/>
          </w:tcPr>
          <w:p>
            <w:pPr>
              <w:spacing w:after="0"/>
            </w:pPr>
            <w:r/>
            <w:r>
              <w:rPr>
                <w:sz w:val="15"/>
              </w:rPr>
              <w:t>232.5 M</w:t>
            </w:r>
          </w:p>
        </w:tc>
        <w:tc>
          <w:tcPr>
            <w:tcW w:type="dxa" w:w="729"/>
          </w:tcPr>
          <w:p>
            <w:pPr>
              <w:spacing w:after="0"/>
            </w:pPr>
            <w:r/>
            <w:r>
              <w:rPr>
                <w:sz w:val="15"/>
              </w:rPr>
              <w:t>19.0 M</w:t>
            </w:r>
          </w:p>
        </w:tc>
        <w:tc>
          <w:tcPr>
            <w:tcW w:type="dxa" w:w="729"/>
          </w:tcPr>
          <w:p>
            <w:pPr>
              <w:spacing w:after="0"/>
            </w:pPr>
            <w:r/>
            <w:r>
              <w:rPr>
                <w:sz w:val="15"/>
              </w:rPr>
              <w:t>0.44 %</w:t>
            </w:r>
          </w:p>
        </w:tc>
        <w:tc>
          <w:tcPr>
            <w:tcW w:type="dxa" w:w="847"/>
          </w:tcPr>
          <w:p>
            <w:pPr>
              <w:spacing w:after="0"/>
            </w:pPr>
            <w:r/>
            <w:r>
              <w:rPr>
                <w:sz w:val="15"/>
              </w:rPr>
              <w:t>3.62</w:t>
            </w:r>
          </w:p>
        </w:tc>
        <w:tc>
          <w:tcPr>
            <w:tcW w:type="dxa" w:w="847"/>
          </w:tcPr>
          <w:p>
            <w:pPr>
              <w:spacing w:after="0"/>
            </w:pPr>
            <w:r/>
            <w:r>
              <w:rPr>
                <w:sz w:val="15"/>
              </w:rPr>
              <w:t>1.11 %</w:t>
            </w:r>
          </w:p>
        </w:tc>
        <w:tc>
          <w:tcPr>
            <w:tcW w:type="dxa" w:w="729"/>
          </w:tcPr>
          <w:p>
            <w:pPr>
              <w:spacing w:after="0"/>
            </w:pPr>
            <w:r/>
            <w:r>
              <w:rPr>
                <w:sz w:val="15"/>
              </w:rPr>
              <w:t>68.3 %</w:t>
            </w:r>
          </w:p>
        </w:tc>
        <w:tc>
          <w:tcPr>
            <w:tcW w:type="dxa" w:w="1433"/>
          </w:tcPr>
          <w:p>
            <w:pPr>
              <w:spacing w:after="0"/>
            </w:pPr>
            <w:r/>
            <w:r>
              <w:rPr>
                <w:sz w:val="15"/>
              </w:rPr>
              <w:t>930,490</w:t>
            </w:r>
          </w:p>
        </w:tc>
      </w:tr>
      <w:tr>
        <w:tc>
          <w:tcPr>
            <w:tcW w:type="dxa" w:w="2865"/>
          </w:tcPr>
          <w:p>
            <w:pPr>
              <w:spacing w:after="0"/>
            </w:pPr>
            <w:r/>
            <w:r>
              <w:rPr>
                <w:sz w:val="15"/>
              </w:rPr>
              <w:t>Ecosistema</w:t>
            </w:r>
          </w:p>
        </w:tc>
        <w:tc>
          <w:tcPr>
            <w:tcW w:type="dxa" w:w="729"/>
          </w:tcPr>
          <w:p>
            <w:pPr>
              <w:spacing w:after="0"/>
            </w:pPr>
            <w:r/>
            <w:r>
              <w:rPr>
                <w:sz w:val="15"/>
              </w:rPr>
              <w:t>42</w:t>
            </w:r>
          </w:p>
        </w:tc>
        <w:tc>
          <w:tcPr>
            <w:tcW w:type="dxa" w:w="729"/>
          </w:tcPr>
          <w:p>
            <w:pPr>
              <w:spacing w:after="0"/>
            </w:pPr>
            <w:r/>
            <w:r>
              <w:rPr>
                <w:sz w:val="15"/>
              </w:rPr>
              <w:t>25.8 M</w:t>
            </w:r>
          </w:p>
        </w:tc>
        <w:tc>
          <w:tcPr>
            <w:tcW w:type="dxa" w:w="729"/>
          </w:tcPr>
          <w:p>
            <w:pPr>
              <w:spacing w:after="0"/>
            </w:pPr>
            <w:r/>
            <w:r>
              <w:rPr>
                <w:sz w:val="15"/>
              </w:rPr>
              <w:t>1.4 M</w:t>
            </w:r>
          </w:p>
        </w:tc>
        <w:tc>
          <w:tcPr>
            <w:tcW w:type="dxa" w:w="729"/>
          </w:tcPr>
          <w:p>
            <w:pPr>
              <w:spacing w:after="0"/>
            </w:pPr>
            <w:r/>
            <w:r>
              <w:rPr>
                <w:sz w:val="15"/>
              </w:rPr>
              <w:t>0.37 %</w:t>
            </w:r>
          </w:p>
        </w:tc>
        <w:tc>
          <w:tcPr>
            <w:tcW w:type="dxa" w:w="847"/>
          </w:tcPr>
          <w:p>
            <w:pPr>
              <w:spacing w:after="0"/>
            </w:pPr>
            <w:r/>
            <w:r>
              <w:rPr>
                <w:sz w:val="15"/>
              </w:rPr>
              <w:t>3.92</w:t>
            </w:r>
          </w:p>
        </w:tc>
        <w:tc>
          <w:tcPr>
            <w:tcW w:type="dxa" w:w="847"/>
          </w:tcPr>
          <w:p>
            <w:pPr>
              <w:spacing w:after="0"/>
            </w:pPr>
            <w:r/>
            <w:r>
              <w:rPr>
                <w:sz w:val="15"/>
              </w:rPr>
              <w:t>1.19 %</w:t>
            </w:r>
          </w:p>
        </w:tc>
        <w:tc>
          <w:tcPr>
            <w:tcW w:type="dxa" w:w="729"/>
          </w:tcPr>
          <w:p>
            <w:pPr>
              <w:spacing w:after="0"/>
            </w:pPr>
            <w:r/>
            <w:r>
              <w:rPr>
                <w:sz w:val="15"/>
              </w:rPr>
              <w:t>70.0 %</w:t>
            </w:r>
          </w:p>
        </w:tc>
        <w:tc>
          <w:tcPr>
            <w:tcW w:type="dxa" w:w="1433"/>
          </w:tcPr>
          <w:p>
            <w:pPr>
              <w:spacing w:after="0"/>
            </w:pPr>
            <w:r/>
            <w:r>
              <w:rPr>
                <w:sz w:val="15"/>
              </w:rPr>
              <w:t>0</w:t>
            </w:r>
          </w:p>
        </w:tc>
      </w:tr>
      <w:tr>
        <w:tc>
          <w:tcPr>
            <w:tcW w:type="dxa" w:w="2865"/>
          </w:tcPr>
          <w:p>
            <w:pPr>
              <w:spacing w:after="0"/>
            </w:pPr>
            <w:r/>
            <w:r>
              <w:rPr>
                <w:sz w:val="15"/>
              </w:rPr>
              <w:t>Cash Installments</w:t>
            </w:r>
          </w:p>
        </w:tc>
        <w:tc>
          <w:tcPr>
            <w:tcW w:type="dxa" w:w="729"/>
          </w:tcPr>
          <w:p>
            <w:pPr>
              <w:spacing w:after="0"/>
            </w:pPr>
            <w:r/>
            <w:r>
              <w:rPr>
                <w:sz w:val="15"/>
              </w:rPr>
              <w:t>10</w:t>
            </w:r>
          </w:p>
        </w:tc>
        <w:tc>
          <w:tcPr>
            <w:tcW w:type="dxa" w:w="729"/>
          </w:tcPr>
          <w:p>
            <w:pPr>
              <w:spacing w:after="0"/>
            </w:pPr>
            <w:r/>
            <w:r>
              <w:rPr>
                <w:sz w:val="15"/>
              </w:rPr>
              <w:t>2.6 M</w:t>
            </w:r>
          </w:p>
        </w:tc>
        <w:tc>
          <w:tcPr>
            <w:tcW w:type="dxa" w:w="729"/>
          </w:tcPr>
          <w:p>
            <w:pPr>
              <w:spacing w:after="0"/>
            </w:pPr>
            <w:r/>
            <w:r>
              <w:rPr>
                <w:sz w:val="15"/>
              </w:rPr>
              <w:t>0.08 M</w:t>
            </w:r>
          </w:p>
        </w:tc>
        <w:tc>
          <w:tcPr>
            <w:tcW w:type="dxa" w:w="729"/>
          </w:tcPr>
          <w:p>
            <w:pPr>
              <w:spacing w:after="0"/>
            </w:pPr>
            <w:r/>
            <w:r>
              <w:rPr>
                <w:sz w:val="15"/>
              </w:rPr>
              <w:t>1.41 %</w:t>
            </w:r>
          </w:p>
        </w:tc>
        <w:tc>
          <w:tcPr>
            <w:tcW w:type="dxa" w:w="847"/>
          </w:tcPr>
          <w:p>
            <w:pPr>
              <w:spacing w:after="0"/>
            </w:pPr>
            <w:r/>
            <w:r>
              <w:rPr>
                <w:sz w:val="15"/>
              </w:rPr>
              <w:t>0.49</w:t>
            </w:r>
          </w:p>
        </w:tc>
        <w:tc>
          <w:tcPr>
            <w:tcW w:type="dxa" w:w="847"/>
          </w:tcPr>
          <w:p>
            <w:pPr>
              <w:spacing w:after="0"/>
            </w:pPr>
            <w:r/>
            <w:r>
              <w:rPr>
                <w:sz w:val="15"/>
              </w:rPr>
              <w:t>2.73 %</w:t>
            </w:r>
          </w:p>
        </w:tc>
        <w:tc>
          <w:tcPr>
            <w:tcW w:type="dxa" w:w="729"/>
          </w:tcPr>
          <w:p>
            <w:pPr>
              <w:spacing w:after="0"/>
            </w:pPr>
            <w:r/>
          </w:p>
        </w:tc>
        <w:tc>
          <w:tcPr>
            <w:tcW w:type="dxa" w:w="1433"/>
          </w:tcPr>
          <w:p>
            <w:pPr>
              <w:spacing w:after="0"/>
            </w:pPr>
            <w:r/>
            <w:r>
              <w:rPr>
                <w:sz w:val="15"/>
              </w:rPr>
              <w:t>0</w:t>
            </w:r>
          </w:p>
        </w:tc>
      </w:tr>
      <w:tr>
        <w:tc>
          <w:tcPr>
            <w:tcW w:type="dxa" w:w="2865"/>
          </w:tcPr>
          <w:p>
            <w:pPr>
              <w:spacing w:after="0"/>
            </w:pPr>
            <w:r/>
            <w:r>
              <w:rPr>
                <w:sz w:val="15"/>
              </w:rPr>
              <w:t>Others (BillPay, transaccional, corporativo)</w:t>
            </w:r>
          </w:p>
        </w:tc>
        <w:tc>
          <w:tcPr>
            <w:tcW w:type="dxa" w:w="729"/>
          </w:tcPr>
          <w:p>
            <w:pPr>
              <w:spacing w:after="0"/>
            </w:pPr>
            <w:r/>
            <w:r>
              <w:rPr>
                <w:sz w:val="15"/>
              </w:rPr>
              <w:t>333</w:t>
            </w:r>
          </w:p>
        </w:tc>
        <w:tc>
          <w:tcPr>
            <w:tcW w:type="dxa" w:w="729"/>
          </w:tcPr>
          <w:p>
            <w:pPr>
              <w:spacing w:after="0"/>
            </w:pPr>
            <w:r/>
            <w:r>
              <w:rPr>
                <w:sz w:val="15"/>
              </w:rPr>
              <w:t>87.9 M</w:t>
            </w:r>
          </w:p>
        </w:tc>
        <w:tc>
          <w:tcPr>
            <w:tcW w:type="dxa" w:w="729"/>
          </w:tcPr>
          <w:p>
            <w:pPr>
              <w:spacing w:after="0"/>
            </w:pPr>
            <w:r/>
            <w:r>
              <w:rPr>
                <w:sz w:val="15"/>
              </w:rPr>
              <w:t>3.5 M</w:t>
            </w:r>
          </w:p>
        </w:tc>
        <w:tc>
          <w:tcPr>
            <w:tcW w:type="dxa" w:w="729"/>
          </w:tcPr>
          <w:p>
            <w:pPr>
              <w:spacing w:after="0"/>
            </w:pPr>
            <w:r/>
            <w:r>
              <w:rPr>
                <w:sz w:val="15"/>
              </w:rPr>
              <w:t>1.83 %</w:t>
            </w:r>
          </w:p>
        </w:tc>
        <w:tc>
          <w:tcPr>
            <w:tcW w:type="dxa" w:w="847"/>
          </w:tcPr>
          <w:p>
            <w:pPr>
              <w:spacing w:after="0"/>
            </w:pPr>
            <w:r/>
            <w:r>
              <w:rPr>
                <w:sz w:val="15"/>
              </w:rPr>
              <w:t>2.11</w:t>
            </w:r>
          </w:p>
        </w:tc>
        <w:tc>
          <w:tcPr>
            <w:tcW w:type="dxa" w:w="847"/>
          </w:tcPr>
          <w:p>
            <w:pPr>
              <w:spacing w:after="0"/>
            </w:pPr>
            <w:r/>
            <w:r>
              <w:rPr>
                <w:sz w:val="15"/>
              </w:rPr>
              <w:t>3.11 %</w:t>
            </w:r>
          </w:p>
        </w:tc>
        <w:tc>
          <w:tcPr>
            <w:tcW w:type="dxa" w:w="729"/>
          </w:tcPr>
          <w:p>
            <w:pPr>
              <w:spacing w:after="0"/>
            </w:pPr>
            <w:r/>
            <w:r>
              <w:rPr>
                <w:sz w:val="15"/>
              </w:rPr>
              <w:t>77.5 %</w:t>
            </w:r>
          </w:p>
        </w:tc>
        <w:tc>
          <w:tcPr>
            <w:tcW w:type="dxa" w:w="1433"/>
          </w:tcPr>
          <w:p>
            <w:pPr>
              <w:spacing w:after="0"/>
            </w:pPr>
            <w:r/>
            <w:r>
              <w:rPr>
                <w:sz w:val="15"/>
              </w:rPr>
              <w:t>38,639</w:t>
            </w:r>
          </w:p>
        </w:tc>
      </w:tr>
    </w:tbl>
    <w:p>
      <w:pPr>
        <w:spacing w:after="40"/>
      </w:pPr>
    </w:p>
    <w:p>
      <w:pPr>
        <w:pStyle w:val="ListBullet"/>
      </w:pPr>
      <w:r>
        <w:rPr>
          <w:b/>
        </w:rPr>
        <w:t>KCash</w:t>
      </w:r>
      <w:r>
        <w:t xml:space="preserve"> se lleva el 48 % de los envíos y el 58 % del costo. Responde el doble que KPay en email y push. Sus problemas son de insistencia (Tasa 0 a registrados, rescates a leads) y de dos equipos sobre la misma base. 52 % de las bajas de usuarios nuevos caen el día de un email de KCash.</w:t>
      </w:r>
    </w:p>
    <w:p>
      <w:pPr>
        <w:pStyle w:val="ListBullet"/>
      </w:pPr>
      <w:r>
        <w:rPr>
          <w:b/>
        </w:rPr>
        <w:t>KPay</w:t>
      </w:r>
      <w:r>
        <w:t xml:space="preserve"> tiene casi el doble de familias que KCash (985) para 73 % de su volumen: muchas piezas chicas y repetidas (Comercio del día por mes, Hot Sale por semana). Es el producto con menos respuesta en email (0.44 %) y push (1.11 %) y el que más promoción manda a quien tiene la tarjeta congelada. La baja de KPay en nuevos es la más rápida (mediana 1 a 2 días, retargeting de cuenta y de NIP con cupón).</w:t>
      </w:r>
    </w:p>
    <w:p>
      <w:pPr>
        <w:pStyle w:val="ListBullet"/>
      </w:pPr>
      <w:r>
        <w:rPr>
          <w:b/>
        </w:rPr>
        <w:t>Ecosistema</w:t>
      </w:r>
      <w:r>
        <w:t xml:space="preserve"> (AnotayGana, aviso de privacidad, registro de línea): piezas a </w:t>
      </w:r>
      <w:r>
        <w:rPr>
          <w:rFonts w:ascii="Consolas" w:hAnsi="Consolas" w:eastAsia="Consolas"/>
          <w:color w:val="1F4E79"/>
        </w:rPr>
        <w:t>Todos</w:t>
      </w:r>
      <w:r>
        <w:t>, bajas más altas (3.92 por mil) y clic más bajo (0.37 %). Lo único que funciona ahí es el in-app (86.6 % en registro de línea MX).</w:t>
      </w:r>
    </w:p>
    <w:p>
      <w:pPr>
        <w:pStyle w:val="ListBullet"/>
      </w:pPr>
      <w:r>
        <w:rPr>
          <w:b/>
        </w:rPr>
        <w:t>Installments</w:t>
      </w:r>
      <w:r>
        <w:t xml:space="preserve"> responde bien (1.41 % de clic, 0.49 bajas por mil) con poco volumen: candidata a escalar con segmento.</w:t>
      </w:r>
    </w:p>
    <w:p>
      <w:pPr>
        <w:spacing w:after="120"/>
      </w:pPr>
      <w:r>
        <w:t xml:space="preserve">Reglas por producto: KPay pasa de "muchas piezas chicas" a familias recurrentes con versión única (Comercio del día = una familia, no una por mes) y canal push + WhatsApp a recurrentes. KCash concentra Tasa 0 en un solo dueño y una sola familia por audiencia. Ecosistema no manda nada a </w:t>
      </w:r>
      <w:r>
        <w:rPr>
          <w:rFonts w:ascii="Consolas" w:hAnsi="Consolas" w:eastAsia="Consolas"/>
          <w:color w:val="1F4E79"/>
        </w:rPr>
        <w:t>Todos</w:t>
      </w:r>
      <w:r>
        <w:t xml:space="preserve"> sin pasar por in-app primero. Una pieza no cubre dos productos: se parte.</w:t>
      </w:r>
    </w:p>
    <w:p>
      <w:pPr>
        <w:pStyle w:val="Heading2"/>
      </w:pPr>
      <w:r>
        <w:t>C6. Por tipo de comunicación</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787"/>
            <w:shd w:val="clear" w:color="auto" w:fill="E8EEF4"/>
          </w:tcPr>
          <w:p>
            <w:pPr>
              <w:spacing w:after="0"/>
            </w:pPr>
            <w:r>
              <w:rPr>
                <w:b/>
              </w:rPr>
            </w:r>
            <w:r>
              <w:rPr>
                <w:b/>
                <w:sz w:val="17"/>
              </w:rPr>
              <w:t>Tipo</w:t>
            </w:r>
          </w:p>
        </w:tc>
        <w:tc>
          <w:tcPr>
            <w:tcW w:type="dxa" w:w="748"/>
            <w:shd w:val="clear" w:color="auto" w:fill="E8EEF4"/>
          </w:tcPr>
          <w:p>
            <w:pPr>
              <w:spacing w:after="0"/>
            </w:pPr>
            <w:r>
              <w:rPr>
                <w:b/>
              </w:rPr>
            </w:r>
            <w:r>
              <w:rPr>
                <w:b/>
                <w:sz w:val="17"/>
              </w:rPr>
              <w:t>Familias</w:t>
            </w:r>
          </w:p>
        </w:tc>
        <w:tc>
          <w:tcPr>
            <w:tcW w:type="dxa" w:w="748"/>
            <w:shd w:val="clear" w:color="auto" w:fill="E8EEF4"/>
          </w:tcPr>
          <w:p>
            <w:pPr>
              <w:spacing w:after="0"/>
            </w:pPr>
            <w:r>
              <w:rPr>
                <w:b/>
              </w:rPr>
            </w:r>
            <w:r>
              <w:rPr>
                <w:b/>
                <w:sz w:val="17"/>
              </w:rPr>
              <w:t>Envíos</w:t>
            </w:r>
          </w:p>
        </w:tc>
        <w:tc>
          <w:tcPr>
            <w:tcW w:type="dxa" w:w="748"/>
            <w:shd w:val="clear" w:color="auto" w:fill="E8EEF4"/>
          </w:tcPr>
          <w:p>
            <w:pPr>
              <w:spacing w:after="0"/>
            </w:pPr>
            <w:r>
              <w:rPr>
                <w:b/>
              </w:rPr>
            </w:r>
            <w:r>
              <w:rPr>
                <w:b/>
                <w:sz w:val="17"/>
              </w:rPr>
              <w:t>Costo MXN</w:t>
            </w:r>
          </w:p>
        </w:tc>
        <w:tc>
          <w:tcPr>
            <w:tcW w:type="dxa" w:w="748"/>
            <w:shd w:val="clear" w:color="auto" w:fill="E8EEF4"/>
          </w:tcPr>
          <w:p>
            <w:pPr>
              <w:spacing w:after="0"/>
            </w:pPr>
            <w:r>
              <w:rPr>
                <w:b/>
              </w:rPr>
            </w:r>
            <w:r>
              <w:rPr>
                <w:b/>
                <w:sz w:val="17"/>
              </w:rPr>
              <w:t>Email clic</w:t>
            </w:r>
          </w:p>
        </w:tc>
        <w:tc>
          <w:tcPr>
            <w:tcW w:type="dxa" w:w="929"/>
            <w:shd w:val="clear" w:color="auto" w:fill="E8EEF4"/>
          </w:tcPr>
          <w:p>
            <w:pPr>
              <w:spacing w:after="0"/>
            </w:pPr>
            <w:r>
              <w:rPr>
                <w:b/>
              </w:rPr>
            </w:r>
            <w:r>
              <w:rPr>
                <w:b/>
                <w:sz w:val="17"/>
              </w:rPr>
              <w:t>Bajas por mil</w:t>
            </w:r>
          </w:p>
        </w:tc>
        <w:tc>
          <w:tcPr>
            <w:tcW w:type="dxa" w:w="2359"/>
            <w:shd w:val="clear" w:color="auto" w:fill="E8EEF4"/>
          </w:tcPr>
          <w:p>
            <w:pPr>
              <w:spacing w:after="0"/>
            </w:pPr>
            <w:r>
              <w:rPr>
                <w:b/>
              </w:rPr>
            </w:r>
            <w:r>
              <w:rPr>
                <w:b/>
                <w:sz w:val="17"/>
              </w:rPr>
              <w:t>Promocional a bloqueados</w:t>
            </w:r>
          </w:p>
        </w:tc>
        <w:tc>
          <w:tcPr>
            <w:tcW w:type="dxa" w:w="1573"/>
            <w:shd w:val="clear" w:color="auto" w:fill="E8EEF4"/>
          </w:tcPr>
          <w:p>
            <w:pPr>
              <w:spacing w:after="0"/>
            </w:pPr>
            <w:r>
              <w:rPr>
                <w:b/>
              </w:rPr>
            </w:r>
            <w:r>
              <w:rPr>
                <w:b/>
                <w:sz w:val="17"/>
              </w:rPr>
              <w:t>Emails a dados de baja</w:t>
            </w:r>
          </w:p>
        </w:tc>
      </w:tr>
      <w:tr>
        <w:tc>
          <w:tcPr>
            <w:tcW w:type="dxa" w:w="1787"/>
          </w:tcPr>
          <w:p>
            <w:pPr>
              <w:spacing w:after="0"/>
            </w:pPr>
            <w:r/>
            <w:r>
              <w:rPr>
                <w:sz w:val="17"/>
              </w:rPr>
              <w:t>Promocional o lifecycle</w:t>
            </w:r>
          </w:p>
        </w:tc>
        <w:tc>
          <w:tcPr>
            <w:tcW w:type="dxa" w:w="748"/>
          </w:tcPr>
          <w:p>
            <w:pPr>
              <w:spacing w:after="0"/>
            </w:pPr>
            <w:r/>
            <w:r>
              <w:rPr>
                <w:sz w:val="17"/>
              </w:rPr>
              <w:t>1,625</w:t>
            </w:r>
          </w:p>
        </w:tc>
        <w:tc>
          <w:tcPr>
            <w:tcW w:type="dxa" w:w="748"/>
          </w:tcPr>
          <w:p>
            <w:pPr>
              <w:spacing w:after="0"/>
            </w:pPr>
            <w:r/>
            <w:r>
              <w:rPr>
                <w:sz w:val="17"/>
              </w:rPr>
              <w:t>571.6 M</w:t>
            </w:r>
          </w:p>
        </w:tc>
        <w:tc>
          <w:tcPr>
            <w:tcW w:type="dxa" w:w="748"/>
          </w:tcPr>
          <w:p>
            <w:pPr>
              <w:spacing w:after="0"/>
            </w:pPr>
            <w:r/>
            <w:r>
              <w:rPr>
                <w:sz w:val="17"/>
              </w:rPr>
              <w:t>53.7 M</w:t>
            </w:r>
          </w:p>
        </w:tc>
        <w:tc>
          <w:tcPr>
            <w:tcW w:type="dxa" w:w="748"/>
          </w:tcPr>
          <w:p>
            <w:pPr>
              <w:spacing w:after="0"/>
            </w:pPr>
            <w:r/>
            <w:r>
              <w:rPr>
                <w:sz w:val="17"/>
              </w:rPr>
              <w:t>0.60 %</w:t>
            </w:r>
          </w:p>
        </w:tc>
        <w:tc>
          <w:tcPr>
            <w:tcW w:type="dxa" w:w="929"/>
          </w:tcPr>
          <w:p>
            <w:pPr>
              <w:spacing w:after="0"/>
            </w:pPr>
            <w:r/>
            <w:r>
              <w:rPr>
                <w:sz w:val="17"/>
              </w:rPr>
              <w:t>3.87</w:t>
            </w:r>
          </w:p>
        </w:tc>
        <w:tc>
          <w:tcPr>
            <w:tcW w:type="dxa" w:w="2359"/>
          </w:tcPr>
          <w:p>
            <w:pPr>
              <w:spacing w:after="0"/>
            </w:pPr>
            <w:r/>
            <w:r>
              <w:rPr>
                <w:sz w:val="17"/>
              </w:rPr>
              <w:t>43.78 M</w:t>
            </w:r>
          </w:p>
        </w:tc>
        <w:tc>
          <w:tcPr>
            <w:tcW w:type="dxa" w:w="1573"/>
          </w:tcPr>
          <w:p>
            <w:pPr>
              <w:spacing w:after="0"/>
            </w:pPr>
            <w:r/>
            <w:r>
              <w:rPr>
                <w:sz w:val="17"/>
              </w:rPr>
              <w:t>79,994</w:t>
            </w:r>
          </w:p>
        </w:tc>
      </w:tr>
      <w:tr>
        <w:tc>
          <w:tcPr>
            <w:tcW w:type="dxa" w:w="1787"/>
          </w:tcPr>
          <w:p>
            <w:pPr>
              <w:spacing w:after="0"/>
            </w:pPr>
            <w:r/>
            <w:r>
              <w:rPr>
                <w:sz w:val="17"/>
              </w:rPr>
              <w:t>Transaccional u operativa</w:t>
            </w:r>
          </w:p>
        </w:tc>
        <w:tc>
          <w:tcPr>
            <w:tcW w:type="dxa" w:w="748"/>
          </w:tcPr>
          <w:p>
            <w:pPr>
              <w:spacing w:after="0"/>
            </w:pPr>
            <w:r/>
            <w:r>
              <w:rPr>
                <w:sz w:val="17"/>
              </w:rPr>
              <w:t>249</w:t>
            </w:r>
          </w:p>
        </w:tc>
        <w:tc>
          <w:tcPr>
            <w:tcW w:type="dxa" w:w="748"/>
          </w:tcPr>
          <w:p>
            <w:pPr>
              <w:spacing w:after="0"/>
            </w:pPr>
            <w:r/>
            <w:r>
              <w:rPr>
                <w:sz w:val="17"/>
              </w:rPr>
              <w:t>51.0 M</w:t>
            </w:r>
          </w:p>
        </w:tc>
        <w:tc>
          <w:tcPr>
            <w:tcW w:type="dxa" w:w="748"/>
          </w:tcPr>
          <w:p>
            <w:pPr>
              <w:spacing w:after="0"/>
            </w:pPr>
            <w:r/>
            <w:r>
              <w:rPr>
                <w:sz w:val="17"/>
              </w:rPr>
              <w:t>2.3 M</w:t>
            </w:r>
          </w:p>
        </w:tc>
        <w:tc>
          <w:tcPr>
            <w:tcW w:type="dxa" w:w="748"/>
          </w:tcPr>
          <w:p>
            <w:pPr>
              <w:spacing w:after="0"/>
            </w:pPr>
            <w:r/>
            <w:r>
              <w:rPr>
                <w:sz w:val="17"/>
              </w:rPr>
              <w:t>2.74 %</w:t>
            </w:r>
          </w:p>
        </w:tc>
        <w:tc>
          <w:tcPr>
            <w:tcW w:type="dxa" w:w="929"/>
          </w:tcPr>
          <w:p>
            <w:pPr>
              <w:spacing w:after="0"/>
            </w:pPr>
            <w:r/>
            <w:r>
              <w:rPr>
                <w:sz w:val="17"/>
              </w:rPr>
              <w:t>0.95</w:t>
            </w:r>
          </w:p>
        </w:tc>
        <w:tc>
          <w:tcPr>
            <w:tcW w:type="dxa" w:w="2359"/>
          </w:tcPr>
          <w:p>
            <w:pPr>
              <w:spacing w:after="0"/>
            </w:pPr>
            <w:r/>
            <w:r>
              <w:rPr>
                <w:sz w:val="17"/>
              </w:rPr>
              <w:t>8.16 M (legítimo salvo Blacklist)</w:t>
            </w:r>
          </w:p>
        </w:tc>
        <w:tc>
          <w:tcPr>
            <w:tcW w:type="dxa" w:w="1573"/>
          </w:tcPr>
          <w:p>
            <w:pPr>
              <w:spacing w:after="0"/>
            </w:pPr>
            <w:r/>
            <w:r>
              <w:rPr>
                <w:sz w:val="17"/>
              </w:rPr>
              <w:t>561,566 (legítimo)</w:t>
            </w:r>
          </w:p>
        </w:tc>
      </w:tr>
      <w:tr>
        <w:tc>
          <w:tcPr>
            <w:tcW w:type="dxa" w:w="1787"/>
          </w:tcPr>
          <w:p>
            <w:pPr>
              <w:spacing w:after="0"/>
            </w:pPr>
            <w:r/>
            <w:r>
              <w:rPr>
                <w:sz w:val="17"/>
              </w:rPr>
              <w:t>Cobranza</w:t>
            </w:r>
          </w:p>
        </w:tc>
        <w:tc>
          <w:tcPr>
            <w:tcW w:type="dxa" w:w="748"/>
          </w:tcPr>
          <w:p>
            <w:pPr>
              <w:spacing w:after="0"/>
            </w:pPr>
            <w:r/>
            <w:r>
              <w:rPr>
                <w:sz w:val="17"/>
              </w:rPr>
              <w:t>39</w:t>
            </w:r>
          </w:p>
        </w:tc>
        <w:tc>
          <w:tcPr>
            <w:tcW w:type="dxa" w:w="748"/>
          </w:tcPr>
          <w:p>
            <w:pPr>
              <w:spacing w:after="0"/>
            </w:pPr>
            <w:r/>
            <w:r>
              <w:rPr>
                <w:sz w:val="17"/>
              </w:rPr>
              <w:t>44.7 M</w:t>
            </w:r>
          </w:p>
        </w:tc>
        <w:tc>
          <w:tcPr>
            <w:tcW w:type="dxa" w:w="748"/>
          </w:tcPr>
          <w:p>
            <w:pPr>
              <w:spacing w:after="0"/>
            </w:pPr>
            <w:r/>
            <w:r>
              <w:rPr>
                <w:sz w:val="17"/>
              </w:rPr>
              <w:t>1.6 M</w:t>
            </w:r>
          </w:p>
        </w:tc>
        <w:tc>
          <w:tcPr>
            <w:tcW w:type="dxa" w:w="748"/>
          </w:tcPr>
          <w:p>
            <w:pPr>
              <w:spacing w:after="0"/>
            </w:pPr>
            <w:r/>
            <w:r>
              <w:rPr>
                <w:sz w:val="17"/>
              </w:rPr>
              <w:t>1.09 %</w:t>
            </w:r>
          </w:p>
        </w:tc>
        <w:tc>
          <w:tcPr>
            <w:tcW w:type="dxa" w:w="929"/>
          </w:tcPr>
          <w:p>
            <w:pPr>
              <w:spacing w:after="0"/>
            </w:pPr>
            <w:r/>
            <w:r>
              <w:rPr>
                <w:sz w:val="17"/>
              </w:rPr>
              <w:t>0.25</w:t>
            </w:r>
          </w:p>
        </w:tc>
        <w:tc>
          <w:tcPr>
            <w:tcW w:type="dxa" w:w="2359"/>
          </w:tcPr>
          <w:p>
            <w:pPr>
              <w:spacing w:after="0"/>
            </w:pPr>
            <w:r/>
            <w:r>
              <w:rPr>
                <w:sz w:val="17"/>
              </w:rPr>
              <w:t>5.61 M (revisar REUS con Legal)</w:t>
            </w:r>
          </w:p>
        </w:tc>
        <w:tc>
          <w:tcPr>
            <w:tcW w:type="dxa" w:w="1573"/>
          </w:tcPr>
          <w:p>
            <w:pPr>
              <w:spacing w:after="0"/>
            </w:pPr>
            <w:r/>
            <w:r>
              <w:rPr>
                <w:sz w:val="17"/>
              </w:rPr>
              <w:t>783,911 (legítimo)</w:t>
            </w:r>
          </w:p>
        </w:tc>
      </w:tr>
    </w:tbl>
    <w:p>
      <w:pPr>
        <w:spacing w:after="40"/>
      </w:pPr>
    </w:p>
    <w:p>
      <w:pPr>
        <w:pStyle w:val="ListBullet"/>
      </w:pPr>
      <w:r>
        <w:t>Lo promocional es el 86 % del volumen, el 93 % del costo, el 89 % de las bajas de nuevos y todo el problema. Transaccional y cobranza funcionan y no se tocan con reglas de frecuencia; solo se les aplica nomenclatura, ticket, una versión activa y Blacklist.</w:t>
      </w:r>
    </w:p>
    <w:p>
      <w:pPr>
        <w:pStyle w:val="ListBullet"/>
      </w:pPr>
      <w:r>
        <w:t xml:space="preserve">Dentro de promocional, el lifecycle (bienvenida, retargeting de embudo, recordatorio de algo empezado) responde 5 a 10 veces más que la promoción pura (oferta, tasa 0, novedades). El tipo se marca con el tag </w:t>
      </w:r>
      <w:r>
        <w:rPr>
          <w:rFonts w:ascii="Consolas" w:hAnsi="Consolas" w:eastAsia="Consolas"/>
          <w:color w:val="1F4E79"/>
        </w:rPr>
        <w:t>tipo:</w:t>
      </w:r>
      <w:r>
        <w:t xml:space="preserve"> (A5) para poder separarlos en el admin; en Databricks se sigue infiriendo por el nombre.</w:t>
      </w:r>
    </w:p>
    <w:p>
      <w:pPr>
        <w:spacing w:after="120"/>
      </w:pPr>
      <w:r>
        <w:t>Regla: todo lo nuevo se declara promocional, lifecycle, transaccional o cobranza antes de crearse, y eso decide qué reglas de la Parte B le aplican. Un transaccional no lleva oferta (si la lleva, es promocional y entra a las reglas).</w:t>
      </w:r>
    </w:p>
    <w:p>
      <w:pPr>
        <w:pStyle w:val="Heading2"/>
      </w:pPr>
      <w:r>
        <w:t>C7. Por segmento</w:t>
      </w:r>
    </w:p>
    <w:p>
      <w:pPr>
        <w:pStyle w:val="Heading3"/>
      </w:pPr>
      <w:r>
        <w:t>C7a. Por etapa del usuario (golden dataset, cubre 37 % de los envíos)</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476"/>
            <w:shd w:val="clear" w:color="auto" w:fill="E8EEF4"/>
          </w:tcPr>
          <w:p>
            <w:pPr>
              <w:spacing w:after="0"/>
            </w:pPr>
            <w:r>
              <w:rPr>
                <w:b/>
              </w:rPr>
            </w:r>
            <w:r>
              <w:rPr>
                <w:b/>
                <w:sz w:val="17"/>
              </w:rPr>
              <w:t>Etapa</w:t>
            </w:r>
          </w:p>
        </w:tc>
        <w:tc>
          <w:tcPr>
            <w:tcW w:type="dxa" w:w="760"/>
            <w:shd w:val="clear" w:color="auto" w:fill="E8EEF4"/>
          </w:tcPr>
          <w:p>
            <w:pPr>
              <w:spacing w:after="0"/>
            </w:pPr>
            <w:r>
              <w:rPr>
                <w:b/>
              </w:rPr>
            </w:r>
            <w:r>
              <w:rPr>
                <w:b/>
                <w:sz w:val="17"/>
              </w:rPr>
              <w:t>Envíos</w:t>
            </w:r>
          </w:p>
        </w:tc>
        <w:tc>
          <w:tcPr>
            <w:tcW w:type="dxa" w:w="760"/>
            <w:shd w:val="clear" w:color="auto" w:fill="E8EEF4"/>
          </w:tcPr>
          <w:p>
            <w:pPr>
              <w:spacing w:after="0"/>
            </w:pPr>
            <w:r>
              <w:rPr>
                <w:b/>
              </w:rPr>
            </w:r>
            <w:r>
              <w:rPr>
                <w:b/>
                <w:sz w:val="17"/>
              </w:rPr>
              <w:t>Promocional</w:t>
            </w:r>
          </w:p>
        </w:tc>
        <w:tc>
          <w:tcPr>
            <w:tcW w:type="dxa" w:w="1107"/>
            <w:shd w:val="clear" w:color="auto" w:fill="E8EEF4"/>
          </w:tcPr>
          <w:p>
            <w:pPr>
              <w:spacing w:after="0"/>
            </w:pPr>
            <w:r>
              <w:rPr>
                <w:b/>
              </w:rPr>
            </w:r>
            <w:r>
              <w:rPr>
                <w:b/>
                <w:sz w:val="17"/>
              </w:rPr>
              <w:t>Email clic (promo)</w:t>
            </w:r>
          </w:p>
        </w:tc>
        <w:tc>
          <w:tcPr>
            <w:tcW w:type="dxa" w:w="1292"/>
            <w:shd w:val="clear" w:color="auto" w:fill="E8EEF4"/>
          </w:tcPr>
          <w:p>
            <w:pPr>
              <w:spacing w:after="0"/>
            </w:pPr>
            <w:r>
              <w:rPr>
                <w:b/>
              </w:rPr>
            </w:r>
            <w:r>
              <w:rPr>
                <w:b/>
                <w:sz w:val="17"/>
              </w:rPr>
              <w:t>Push apertura (promo)</w:t>
            </w:r>
          </w:p>
        </w:tc>
        <w:tc>
          <w:tcPr>
            <w:tcW w:type="dxa" w:w="1107"/>
            <w:shd w:val="clear" w:color="auto" w:fill="E8EEF4"/>
          </w:tcPr>
          <w:p>
            <w:pPr>
              <w:spacing w:after="0"/>
            </w:pPr>
            <w:r>
              <w:rPr>
                <w:b/>
              </w:rPr>
            </w:r>
            <w:r>
              <w:rPr>
                <w:b/>
                <w:sz w:val="17"/>
              </w:rPr>
              <w:t>WA lectura (promo)</w:t>
            </w:r>
          </w:p>
        </w:tc>
        <w:tc>
          <w:tcPr>
            <w:tcW w:type="dxa" w:w="1169"/>
            <w:shd w:val="clear" w:color="auto" w:fill="E8EEF4"/>
          </w:tcPr>
          <w:p>
            <w:pPr>
              <w:spacing w:after="0"/>
            </w:pPr>
            <w:r>
              <w:rPr>
                <w:b/>
              </w:rPr>
            </w:r>
            <w:r>
              <w:rPr>
                <w:b/>
                <w:sz w:val="17"/>
              </w:rPr>
              <w:t>In-app clic (promo)</w:t>
            </w:r>
          </w:p>
        </w:tc>
        <w:tc>
          <w:tcPr>
            <w:tcW w:type="dxa" w:w="1968"/>
            <w:shd w:val="clear" w:color="auto" w:fill="E8EEF4"/>
          </w:tcPr>
          <w:p>
            <w:pPr>
              <w:spacing w:after="0"/>
            </w:pPr>
            <w:r>
              <w:rPr>
                <w:b/>
              </w:rPr>
            </w:r>
            <w:r>
              <w:rPr>
                <w:b/>
                <w:sz w:val="17"/>
              </w:rPr>
              <w:t>Conversión de referencia por mil</w:t>
            </w:r>
          </w:p>
        </w:tc>
      </w:tr>
      <w:tr>
        <w:tc>
          <w:tcPr>
            <w:tcW w:type="dxa" w:w="1476"/>
          </w:tcPr>
          <w:p>
            <w:pPr>
              <w:spacing w:after="0"/>
            </w:pPr>
            <w:r/>
            <w:r>
              <w:rPr>
                <w:sz w:val="17"/>
              </w:rPr>
              <w:t>Prospectos (sin crédito)</w:t>
            </w:r>
          </w:p>
        </w:tc>
        <w:tc>
          <w:tcPr>
            <w:tcW w:type="dxa" w:w="760"/>
          </w:tcPr>
          <w:p>
            <w:pPr>
              <w:spacing w:after="0"/>
            </w:pPr>
            <w:r/>
            <w:r>
              <w:rPr>
                <w:sz w:val="17"/>
              </w:rPr>
              <w:t>189.1 M</w:t>
            </w:r>
          </w:p>
        </w:tc>
        <w:tc>
          <w:tcPr>
            <w:tcW w:type="dxa" w:w="760"/>
          </w:tcPr>
          <w:p>
            <w:pPr>
              <w:spacing w:after="0"/>
            </w:pPr>
            <w:r/>
            <w:r>
              <w:rPr>
                <w:sz w:val="17"/>
              </w:rPr>
              <w:t>167.2 M</w:t>
            </w:r>
          </w:p>
        </w:tc>
        <w:tc>
          <w:tcPr>
            <w:tcW w:type="dxa" w:w="1107"/>
          </w:tcPr>
          <w:p>
            <w:pPr>
              <w:spacing w:after="0"/>
            </w:pPr>
            <w:r/>
            <w:r>
              <w:rPr>
                <w:sz w:val="17"/>
              </w:rPr>
              <w:t>0.27 %</w:t>
            </w:r>
          </w:p>
        </w:tc>
        <w:tc>
          <w:tcPr>
            <w:tcW w:type="dxa" w:w="1292"/>
          </w:tcPr>
          <w:p>
            <w:pPr>
              <w:spacing w:after="0"/>
            </w:pPr>
            <w:r/>
            <w:r>
              <w:rPr>
                <w:sz w:val="17"/>
              </w:rPr>
              <w:t>1.33 %</w:t>
            </w:r>
          </w:p>
        </w:tc>
        <w:tc>
          <w:tcPr>
            <w:tcW w:type="dxa" w:w="1107"/>
          </w:tcPr>
          <w:p>
            <w:pPr>
              <w:spacing w:after="0"/>
            </w:pPr>
            <w:r/>
            <w:r>
              <w:rPr>
                <w:sz w:val="17"/>
              </w:rPr>
              <w:t>54.3 %</w:t>
            </w:r>
          </w:p>
        </w:tc>
        <w:tc>
          <w:tcPr>
            <w:tcW w:type="dxa" w:w="1169"/>
          </w:tcPr>
          <w:p>
            <w:pPr>
              <w:spacing w:after="0"/>
            </w:pPr>
            <w:r/>
            <w:r>
              <w:rPr>
                <w:sz w:val="17"/>
              </w:rPr>
              <w:t>26.8 %</w:t>
            </w:r>
          </w:p>
        </w:tc>
        <w:tc>
          <w:tcPr>
            <w:tcW w:type="dxa" w:w="1968"/>
          </w:tcPr>
          <w:p>
            <w:pPr>
              <w:spacing w:after="0"/>
            </w:pPr>
            <w:r/>
            <w:r>
              <w:rPr>
                <w:sz w:val="17"/>
              </w:rPr>
              <w:t>10.7</w:t>
            </w:r>
          </w:p>
        </w:tc>
      </w:tr>
      <w:tr>
        <w:tc>
          <w:tcPr>
            <w:tcW w:type="dxa" w:w="1476"/>
          </w:tcPr>
          <w:p>
            <w:pPr>
              <w:spacing w:after="0"/>
            </w:pPr>
            <w:r/>
            <w:r>
              <w:rPr>
                <w:sz w:val="17"/>
              </w:rPr>
              <w:t>Tarjeta KPay congelada</w:t>
            </w:r>
          </w:p>
        </w:tc>
        <w:tc>
          <w:tcPr>
            <w:tcW w:type="dxa" w:w="760"/>
          </w:tcPr>
          <w:p>
            <w:pPr>
              <w:spacing w:after="0"/>
            </w:pPr>
            <w:r/>
            <w:r>
              <w:rPr>
                <w:sz w:val="17"/>
              </w:rPr>
              <w:t>56.6 M</w:t>
            </w:r>
          </w:p>
        </w:tc>
        <w:tc>
          <w:tcPr>
            <w:tcW w:type="dxa" w:w="760"/>
          </w:tcPr>
          <w:p>
            <w:pPr>
              <w:spacing w:after="0"/>
            </w:pPr>
            <w:r/>
            <w:r>
              <w:rPr>
                <w:sz w:val="17"/>
              </w:rPr>
              <w:t>43.4 M</w:t>
            </w:r>
          </w:p>
        </w:tc>
        <w:tc>
          <w:tcPr>
            <w:tcW w:type="dxa" w:w="1107"/>
          </w:tcPr>
          <w:p>
            <w:pPr>
              <w:spacing w:after="0"/>
            </w:pPr>
            <w:r/>
            <w:r>
              <w:rPr>
                <w:sz w:val="17"/>
              </w:rPr>
              <w:t>0.38 %</w:t>
            </w:r>
          </w:p>
        </w:tc>
        <w:tc>
          <w:tcPr>
            <w:tcW w:type="dxa" w:w="1292"/>
          </w:tcPr>
          <w:p>
            <w:pPr>
              <w:spacing w:after="0"/>
            </w:pPr>
            <w:r/>
            <w:r>
              <w:rPr>
                <w:sz w:val="17"/>
              </w:rPr>
              <w:t>1.45 %</w:t>
            </w:r>
          </w:p>
        </w:tc>
        <w:tc>
          <w:tcPr>
            <w:tcW w:type="dxa" w:w="1107"/>
          </w:tcPr>
          <w:p>
            <w:pPr>
              <w:spacing w:after="0"/>
            </w:pPr>
            <w:r/>
            <w:r>
              <w:rPr>
                <w:sz w:val="17"/>
              </w:rPr>
              <w:t>51.7 %</w:t>
            </w:r>
          </w:p>
        </w:tc>
        <w:tc>
          <w:tcPr>
            <w:tcW w:type="dxa" w:w="1169"/>
          </w:tcPr>
          <w:p>
            <w:pPr>
              <w:spacing w:after="0"/>
            </w:pPr>
            <w:r/>
            <w:r>
              <w:rPr>
                <w:sz w:val="17"/>
              </w:rPr>
              <w:t>32.9 %</w:t>
            </w:r>
          </w:p>
        </w:tc>
        <w:tc>
          <w:tcPr>
            <w:tcW w:type="dxa" w:w="1968"/>
          </w:tcPr>
          <w:p>
            <w:pPr>
              <w:spacing w:after="0"/>
            </w:pPr>
            <w:r/>
            <w:r>
              <w:rPr>
                <w:sz w:val="17"/>
              </w:rPr>
              <w:t>7.9</w:t>
            </w:r>
          </w:p>
        </w:tc>
      </w:tr>
      <w:tr>
        <w:tc>
          <w:tcPr>
            <w:tcW w:type="dxa" w:w="1476"/>
          </w:tcPr>
          <w:p>
            <w:pPr>
              <w:spacing w:after="0"/>
            </w:pPr>
            <w:r/>
            <w:r>
              <w:rPr>
                <w:sz w:val="17"/>
              </w:rPr>
              <w:t>REUS o ARCO</w:t>
            </w:r>
          </w:p>
        </w:tc>
        <w:tc>
          <w:tcPr>
            <w:tcW w:type="dxa" w:w="760"/>
          </w:tcPr>
          <w:p>
            <w:pPr>
              <w:spacing w:after="0"/>
            </w:pPr>
            <w:r/>
            <w:r>
              <w:rPr>
                <w:sz w:val="17"/>
              </w:rPr>
              <w:t>0.49 M</w:t>
            </w:r>
          </w:p>
        </w:tc>
        <w:tc>
          <w:tcPr>
            <w:tcW w:type="dxa" w:w="760"/>
          </w:tcPr>
          <w:p>
            <w:pPr>
              <w:spacing w:after="0"/>
            </w:pPr>
            <w:r/>
            <w:r>
              <w:rPr>
                <w:sz w:val="17"/>
              </w:rPr>
              <w:t>0.25 M</w:t>
            </w:r>
          </w:p>
        </w:tc>
        <w:tc>
          <w:tcPr>
            <w:tcW w:type="dxa" w:w="1107"/>
          </w:tcPr>
          <w:p>
            <w:pPr>
              <w:spacing w:after="0"/>
            </w:pPr>
            <w:r/>
          </w:p>
        </w:tc>
        <w:tc>
          <w:tcPr>
            <w:tcW w:type="dxa" w:w="1292"/>
          </w:tcPr>
          <w:p>
            <w:pPr>
              <w:spacing w:after="0"/>
            </w:pPr>
            <w:r/>
          </w:p>
        </w:tc>
        <w:tc>
          <w:tcPr>
            <w:tcW w:type="dxa" w:w="1107"/>
          </w:tcPr>
          <w:p>
            <w:pPr>
              <w:spacing w:after="0"/>
            </w:pPr>
            <w:r/>
          </w:p>
        </w:tc>
        <w:tc>
          <w:tcPr>
            <w:tcW w:type="dxa" w:w="1169"/>
          </w:tcPr>
          <w:p>
            <w:pPr>
              <w:spacing w:after="0"/>
            </w:pPr>
            <w:r/>
          </w:p>
        </w:tc>
        <w:tc>
          <w:tcPr>
            <w:tcW w:type="dxa" w:w="1968"/>
          </w:tcPr>
          <w:p>
            <w:pPr>
              <w:spacing w:after="0"/>
            </w:pPr>
            <w:r/>
            <w:r>
              <w:rPr>
                <w:sz w:val="17"/>
              </w:rPr>
              <w:t>7.9</w:t>
            </w:r>
          </w:p>
        </w:tc>
      </w:tr>
      <w:tr>
        <w:tc>
          <w:tcPr>
            <w:tcW w:type="dxa" w:w="1476"/>
          </w:tcPr>
          <w:p>
            <w:pPr>
              <w:spacing w:after="0"/>
            </w:pPr>
            <w:r/>
            <w:r>
              <w:rPr>
                <w:sz w:val="17"/>
              </w:rPr>
              <w:t>Blacklist</w:t>
            </w:r>
          </w:p>
        </w:tc>
        <w:tc>
          <w:tcPr>
            <w:tcW w:type="dxa" w:w="760"/>
          </w:tcPr>
          <w:p>
            <w:pPr>
              <w:spacing w:after="0"/>
            </w:pPr>
            <w:r/>
            <w:r>
              <w:rPr>
                <w:sz w:val="17"/>
              </w:rPr>
              <w:t>0.43 M</w:t>
            </w:r>
          </w:p>
        </w:tc>
        <w:tc>
          <w:tcPr>
            <w:tcW w:type="dxa" w:w="760"/>
          </w:tcPr>
          <w:p>
            <w:pPr>
              <w:spacing w:after="0"/>
            </w:pPr>
            <w:r/>
            <w:r>
              <w:rPr>
                <w:sz w:val="17"/>
              </w:rPr>
              <w:t>0.15 M</w:t>
            </w:r>
          </w:p>
        </w:tc>
        <w:tc>
          <w:tcPr>
            <w:tcW w:type="dxa" w:w="1107"/>
          </w:tcPr>
          <w:p>
            <w:pPr>
              <w:spacing w:after="0"/>
            </w:pPr>
            <w:r/>
          </w:p>
        </w:tc>
        <w:tc>
          <w:tcPr>
            <w:tcW w:type="dxa" w:w="1292"/>
          </w:tcPr>
          <w:p>
            <w:pPr>
              <w:spacing w:after="0"/>
            </w:pPr>
            <w:r/>
          </w:p>
        </w:tc>
        <w:tc>
          <w:tcPr>
            <w:tcW w:type="dxa" w:w="1107"/>
          </w:tcPr>
          <w:p>
            <w:pPr>
              <w:spacing w:after="0"/>
            </w:pPr>
            <w:r/>
          </w:p>
        </w:tc>
        <w:tc>
          <w:tcPr>
            <w:tcW w:type="dxa" w:w="1169"/>
          </w:tcPr>
          <w:p>
            <w:pPr>
              <w:spacing w:after="0"/>
            </w:pPr>
            <w:r/>
          </w:p>
        </w:tc>
        <w:tc>
          <w:tcPr>
            <w:tcW w:type="dxa" w:w="1968"/>
          </w:tcPr>
          <w:p>
            <w:pPr>
              <w:spacing w:after="0"/>
            </w:pPr>
            <w:r/>
            <w:r>
              <w:rPr>
                <w:sz w:val="17"/>
              </w:rPr>
              <w:t>5.9</w:t>
            </w:r>
          </w:p>
        </w:tc>
      </w:tr>
      <w:tr>
        <w:tc>
          <w:tcPr>
            <w:tcW w:type="dxa" w:w="1476"/>
          </w:tcPr>
          <w:p>
            <w:pPr>
              <w:spacing w:after="0"/>
            </w:pPr>
            <w:r/>
            <w:r>
              <w:rPr>
                <w:sz w:val="17"/>
              </w:rPr>
              <w:t>Sin etapa en la tabla</w:t>
            </w:r>
          </w:p>
        </w:tc>
        <w:tc>
          <w:tcPr>
            <w:tcW w:type="dxa" w:w="760"/>
          </w:tcPr>
          <w:p>
            <w:pPr>
              <w:spacing w:after="0"/>
            </w:pPr>
            <w:r/>
            <w:r>
              <w:rPr>
                <w:sz w:val="17"/>
              </w:rPr>
              <w:t>416.2 M</w:t>
            </w:r>
          </w:p>
        </w:tc>
        <w:tc>
          <w:tcPr>
            <w:tcW w:type="dxa" w:w="760"/>
          </w:tcPr>
          <w:p>
            <w:pPr>
              <w:spacing w:after="0"/>
            </w:pPr>
            <w:r/>
            <w:r>
              <w:rPr>
                <w:sz w:val="17"/>
              </w:rPr>
              <w:t>356.3 M</w:t>
            </w:r>
          </w:p>
        </w:tc>
        <w:tc>
          <w:tcPr>
            <w:tcW w:type="dxa" w:w="1107"/>
          </w:tcPr>
          <w:p>
            <w:pPr>
              <w:spacing w:after="0"/>
            </w:pPr>
            <w:r/>
            <w:r>
              <w:rPr>
                <w:sz w:val="17"/>
              </w:rPr>
              <w:t>0.67 %</w:t>
            </w:r>
          </w:p>
        </w:tc>
        <w:tc>
          <w:tcPr>
            <w:tcW w:type="dxa" w:w="1292"/>
          </w:tcPr>
          <w:p>
            <w:pPr>
              <w:spacing w:after="0"/>
            </w:pPr>
            <w:r/>
            <w:r>
              <w:rPr>
                <w:sz w:val="17"/>
              </w:rPr>
              <w:t>1.20 %</w:t>
            </w:r>
          </w:p>
        </w:tc>
        <w:tc>
          <w:tcPr>
            <w:tcW w:type="dxa" w:w="1107"/>
          </w:tcPr>
          <w:p>
            <w:pPr>
              <w:spacing w:after="0"/>
            </w:pPr>
            <w:r/>
            <w:r>
              <w:rPr>
                <w:sz w:val="17"/>
              </w:rPr>
              <w:t>49.2 %</w:t>
            </w:r>
          </w:p>
        </w:tc>
        <w:tc>
          <w:tcPr>
            <w:tcW w:type="dxa" w:w="1169"/>
          </w:tcPr>
          <w:p>
            <w:pPr>
              <w:spacing w:after="0"/>
            </w:pPr>
            <w:r/>
            <w:r>
              <w:rPr>
                <w:sz w:val="17"/>
              </w:rPr>
              <w:t>50.9 %</w:t>
            </w:r>
          </w:p>
        </w:tc>
        <w:tc>
          <w:tcPr>
            <w:tcW w:type="dxa" w:w="1968"/>
          </w:tcPr>
          <w:p>
            <w:pPr>
              <w:spacing w:after="0"/>
            </w:pPr>
            <w:r/>
            <w:r>
              <w:rPr>
                <w:sz w:val="17"/>
              </w:rPr>
              <w:t>5.3</w:t>
            </w:r>
          </w:p>
        </w:tc>
      </w:tr>
    </w:tbl>
    <w:p>
      <w:pPr>
        <w:spacing w:after="40"/>
      </w:pPr>
    </w:p>
    <w:p>
      <w:pPr>
        <w:spacing w:after="120"/>
      </w:pPr>
      <w:r>
        <w:t xml:space="preserve">Regla: prospectos no reciben email promocional masivo (0.27 % de clic, debajo del mínimo de apagado, en el 28 % de todo lo que se manda); se trabajan con push de señal e in-app. Las tres etapas bloqueadas salen por </w:t>
      </w:r>
      <w:r>
        <w:rPr>
          <w:rFonts w:ascii="Consolas" w:hAnsi="Consolas" w:eastAsia="Consolas"/>
          <w:color w:val="1F4E79"/>
        </w:rPr>
        <w:t>EXC-</w:t>
      </w:r>
      <w:r>
        <w:t xml:space="preserve"> (B1).</w:t>
      </w:r>
    </w:p>
    <w:p>
      <w:pPr>
        <w:pStyle w:val="Heading3"/>
      </w:pPr>
      <w:r>
        <w:t>C7b. Por audiencia (según el nombre de la pieza)</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4176"/>
            <w:shd w:val="clear" w:color="auto" w:fill="E8EEF4"/>
          </w:tcPr>
          <w:p>
            <w:pPr>
              <w:spacing w:after="0"/>
            </w:pPr>
            <w:r>
              <w:rPr>
                <w:b/>
              </w:rPr>
            </w:r>
            <w:r>
              <w:rPr>
                <w:b/>
                <w:sz w:val="17"/>
              </w:rPr>
              <w:t>Audiencia</w:t>
            </w:r>
          </w:p>
        </w:tc>
        <w:tc>
          <w:tcPr>
            <w:tcW w:type="dxa" w:w="803"/>
            <w:shd w:val="clear" w:color="auto" w:fill="E8EEF4"/>
          </w:tcPr>
          <w:p>
            <w:pPr>
              <w:spacing w:after="0"/>
            </w:pPr>
            <w:r>
              <w:rPr>
                <w:b/>
              </w:rPr>
            </w:r>
            <w:r>
              <w:rPr>
                <w:b/>
                <w:sz w:val="17"/>
              </w:rPr>
              <w:t>Email clic</w:t>
            </w:r>
          </w:p>
        </w:tc>
        <w:tc>
          <w:tcPr>
            <w:tcW w:type="dxa" w:w="1044"/>
            <w:shd w:val="clear" w:color="auto" w:fill="E8EEF4"/>
          </w:tcPr>
          <w:p>
            <w:pPr>
              <w:spacing w:after="0"/>
            </w:pPr>
            <w:r>
              <w:rPr>
                <w:b/>
              </w:rPr>
            </w:r>
            <w:r>
              <w:rPr>
                <w:b/>
                <w:sz w:val="17"/>
              </w:rPr>
              <w:t>Bajas por mil</w:t>
            </w:r>
          </w:p>
        </w:tc>
        <w:tc>
          <w:tcPr>
            <w:tcW w:type="dxa" w:w="1044"/>
            <w:shd w:val="clear" w:color="auto" w:fill="E8EEF4"/>
          </w:tcPr>
          <w:p>
            <w:pPr>
              <w:spacing w:after="0"/>
            </w:pPr>
            <w:r>
              <w:rPr>
                <w:b/>
              </w:rPr>
            </w:r>
            <w:r>
              <w:rPr>
                <w:b/>
                <w:sz w:val="17"/>
              </w:rPr>
              <w:t>Push apertura</w:t>
            </w:r>
          </w:p>
        </w:tc>
        <w:tc>
          <w:tcPr>
            <w:tcW w:type="dxa" w:w="803"/>
            <w:shd w:val="clear" w:color="auto" w:fill="E8EEF4"/>
          </w:tcPr>
          <w:p>
            <w:pPr>
              <w:spacing w:after="0"/>
            </w:pPr>
            <w:r>
              <w:rPr>
                <w:b/>
              </w:rPr>
            </w:r>
            <w:r>
              <w:rPr>
                <w:b/>
                <w:sz w:val="17"/>
              </w:rPr>
              <w:t>WA lectura</w:t>
            </w:r>
          </w:p>
        </w:tc>
        <w:tc>
          <w:tcPr>
            <w:tcW w:type="dxa" w:w="803"/>
            <w:shd w:val="clear" w:color="auto" w:fill="E8EEF4"/>
          </w:tcPr>
          <w:p>
            <w:pPr>
              <w:spacing w:after="0"/>
            </w:pPr>
            <w:r>
              <w:rPr>
                <w:b/>
              </w:rPr>
            </w:r>
            <w:r>
              <w:rPr>
                <w:b/>
                <w:sz w:val="17"/>
              </w:rPr>
              <w:t>WA entrega</w:t>
            </w:r>
          </w:p>
        </w:tc>
        <w:tc>
          <w:tcPr>
            <w:tcW w:type="dxa" w:w="964"/>
            <w:shd w:val="clear" w:color="auto" w:fill="E8EEF4"/>
          </w:tcPr>
          <w:p>
            <w:pPr>
              <w:spacing w:after="0"/>
            </w:pPr>
            <w:r>
              <w:rPr>
                <w:b/>
              </w:rPr>
            </w:r>
            <w:r>
              <w:rPr>
                <w:b/>
                <w:sz w:val="17"/>
              </w:rPr>
              <w:t>WA costo MXN</w:t>
            </w:r>
          </w:p>
        </w:tc>
      </w:tr>
      <w:tr>
        <w:tc>
          <w:tcPr>
            <w:tcW w:type="dxa" w:w="4176"/>
          </w:tcPr>
          <w:p>
            <w:pPr>
              <w:spacing w:after="0"/>
            </w:pPr>
            <w:r/>
            <w:r>
              <w:rPr>
                <w:sz w:val="17"/>
              </w:rPr>
              <w:t>Nuevos y onboarding</w:t>
            </w:r>
          </w:p>
        </w:tc>
        <w:tc>
          <w:tcPr>
            <w:tcW w:type="dxa" w:w="803"/>
          </w:tcPr>
          <w:p>
            <w:pPr>
              <w:spacing w:after="0"/>
            </w:pPr>
            <w:r/>
            <w:r>
              <w:rPr>
                <w:sz w:val="17"/>
              </w:rPr>
              <w:t>1.25 %</w:t>
            </w:r>
          </w:p>
        </w:tc>
        <w:tc>
          <w:tcPr>
            <w:tcW w:type="dxa" w:w="1044"/>
          </w:tcPr>
          <w:p>
            <w:pPr>
              <w:spacing w:after="0"/>
            </w:pPr>
            <w:r/>
            <w:r>
              <w:rPr>
                <w:sz w:val="17"/>
              </w:rPr>
              <w:t>6.9</w:t>
            </w:r>
          </w:p>
        </w:tc>
        <w:tc>
          <w:tcPr>
            <w:tcW w:type="dxa" w:w="1044"/>
          </w:tcPr>
          <w:p>
            <w:pPr>
              <w:spacing w:after="0"/>
            </w:pPr>
            <w:r/>
            <w:r>
              <w:rPr>
                <w:sz w:val="17"/>
              </w:rPr>
              <w:t>3.18 %</w:t>
            </w:r>
          </w:p>
        </w:tc>
        <w:tc>
          <w:tcPr>
            <w:tcW w:type="dxa" w:w="803"/>
          </w:tcPr>
          <w:p>
            <w:pPr>
              <w:spacing w:after="0"/>
            </w:pPr>
            <w:r/>
            <w:r>
              <w:rPr>
                <w:sz w:val="17"/>
              </w:rPr>
              <w:t>67.5 %</w:t>
            </w:r>
          </w:p>
        </w:tc>
        <w:tc>
          <w:tcPr>
            <w:tcW w:type="dxa" w:w="803"/>
          </w:tcPr>
          <w:p>
            <w:pPr>
              <w:spacing w:after="0"/>
            </w:pPr>
            <w:r/>
            <w:r>
              <w:rPr>
                <w:sz w:val="17"/>
              </w:rPr>
              <w:t>77.4 %</w:t>
            </w:r>
          </w:p>
        </w:tc>
        <w:tc>
          <w:tcPr>
            <w:tcW w:type="dxa" w:w="964"/>
          </w:tcPr>
          <w:p>
            <w:pPr>
              <w:spacing w:after="0"/>
            </w:pPr>
            <w:r/>
            <w:r>
              <w:rPr>
                <w:sz w:val="17"/>
              </w:rPr>
              <w:t>0.8 M</w:t>
            </w:r>
          </w:p>
        </w:tc>
      </w:tr>
      <w:tr>
        <w:tc>
          <w:tcPr>
            <w:tcW w:type="dxa" w:w="4176"/>
          </w:tcPr>
          <w:p>
            <w:pPr>
              <w:spacing w:after="0"/>
            </w:pPr>
            <w:r/>
            <w:r>
              <w:rPr>
                <w:sz w:val="17"/>
              </w:rPr>
              <w:t>Clientes activos y recurrentes</w:t>
            </w:r>
          </w:p>
        </w:tc>
        <w:tc>
          <w:tcPr>
            <w:tcW w:type="dxa" w:w="803"/>
          </w:tcPr>
          <w:p>
            <w:pPr>
              <w:spacing w:after="0"/>
            </w:pPr>
            <w:r/>
            <w:r>
              <w:rPr>
                <w:sz w:val="17"/>
              </w:rPr>
              <w:t>0.72 %</w:t>
            </w:r>
          </w:p>
        </w:tc>
        <w:tc>
          <w:tcPr>
            <w:tcW w:type="dxa" w:w="1044"/>
          </w:tcPr>
          <w:p>
            <w:pPr>
              <w:spacing w:after="0"/>
            </w:pPr>
            <w:r/>
            <w:r>
              <w:rPr>
                <w:sz w:val="17"/>
              </w:rPr>
              <w:t>3.1</w:t>
            </w:r>
          </w:p>
        </w:tc>
        <w:tc>
          <w:tcPr>
            <w:tcW w:type="dxa" w:w="1044"/>
          </w:tcPr>
          <w:p>
            <w:pPr>
              <w:spacing w:after="0"/>
            </w:pPr>
            <w:r/>
            <w:r>
              <w:rPr>
                <w:sz w:val="17"/>
              </w:rPr>
              <w:t>1.75 %</w:t>
            </w:r>
          </w:p>
        </w:tc>
        <w:tc>
          <w:tcPr>
            <w:tcW w:type="dxa" w:w="803"/>
          </w:tcPr>
          <w:p>
            <w:pPr>
              <w:spacing w:after="0"/>
            </w:pPr>
            <w:r/>
            <w:r>
              <w:rPr>
                <w:sz w:val="17"/>
              </w:rPr>
              <w:t>70.1 %</w:t>
            </w:r>
          </w:p>
        </w:tc>
        <w:tc>
          <w:tcPr>
            <w:tcW w:type="dxa" w:w="803"/>
          </w:tcPr>
          <w:p>
            <w:pPr>
              <w:spacing w:after="0"/>
            </w:pPr>
            <w:r/>
            <w:r>
              <w:rPr>
                <w:sz w:val="17"/>
              </w:rPr>
              <w:t>81.6 %</w:t>
            </w:r>
          </w:p>
        </w:tc>
        <w:tc>
          <w:tcPr>
            <w:tcW w:type="dxa" w:w="964"/>
          </w:tcPr>
          <w:p>
            <w:pPr>
              <w:spacing w:after="0"/>
            </w:pPr>
            <w:r/>
            <w:r>
              <w:rPr>
                <w:sz w:val="17"/>
              </w:rPr>
              <w:t>14.9 M</w:t>
            </w:r>
          </w:p>
        </w:tc>
      </w:tr>
      <w:tr>
        <w:tc>
          <w:tcPr>
            <w:tcW w:type="dxa" w:w="4176"/>
          </w:tcPr>
          <w:p>
            <w:pPr>
              <w:spacing w:after="0"/>
            </w:pPr>
            <w:r/>
            <w:r>
              <w:rPr>
                <w:sz w:val="17"/>
              </w:rPr>
              <w:t>Leads y registrados sin crédito</w:t>
            </w:r>
          </w:p>
        </w:tc>
        <w:tc>
          <w:tcPr>
            <w:tcW w:type="dxa" w:w="803"/>
          </w:tcPr>
          <w:p>
            <w:pPr>
              <w:spacing w:after="0"/>
            </w:pPr>
            <w:r/>
            <w:r>
              <w:rPr>
                <w:sz w:val="17"/>
              </w:rPr>
              <w:t>0.75 %</w:t>
            </w:r>
          </w:p>
        </w:tc>
        <w:tc>
          <w:tcPr>
            <w:tcW w:type="dxa" w:w="1044"/>
          </w:tcPr>
          <w:p>
            <w:pPr>
              <w:spacing w:after="0"/>
            </w:pPr>
            <w:r/>
            <w:r>
              <w:rPr>
                <w:sz w:val="17"/>
              </w:rPr>
              <w:t>4.6</w:t>
            </w:r>
          </w:p>
        </w:tc>
        <w:tc>
          <w:tcPr>
            <w:tcW w:type="dxa" w:w="1044"/>
          </w:tcPr>
          <w:p>
            <w:pPr>
              <w:spacing w:after="0"/>
            </w:pPr>
            <w:r/>
            <w:r>
              <w:rPr>
                <w:sz w:val="17"/>
              </w:rPr>
              <w:t>0.94 %</w:t>
            </w:r>
          </w:p>
        </w:tc>
        <w:tc>
          <w:tcPr>
            <w:tcW w:type="dxa" w:w="803"/>
          </w:tcPr>
          <w:p>
            <w:pPr>
              <w:spacing w:after="0"/>
            </w:pPr>
            <w:r/>
            <w:r>
              <w:rPr>
                <w:sz w:val="17"/>
              </w:rPr>
              <w:t>73.4 %</w:t>
            </w:r>
          </w:p>
        </w:tc>
        <w:tc>
          <w:tcPr>
            <w:tcW w:type="dxa" w:w="803"/>
          </w:tcPr>
          <w:p>
            <w:pPr>
              <w:spacing w:after="0"/>
            </w:pPr>
            <w:r/>
            <w:r>
              <w:rPr>
                <w:sz w:val="17"/>
              </w:rPr>
              <w:t>74.9 %</w:t>
            </w:r>
          </w:p>
        </w:tc>
        <w:tc>
          <w:tcPr>
            <w:tcW w:type="dxa" w:w="964"/>
          </w:tcPr>
          <w:p>
            <w:pPr>
              <w:spacing w:after="0"/>
            </w:pPr>
            <w:r/>
            <w:r>
              <w:rPr>
                <w:sz w:val="17"/>
              </w:rPr>
              <w:t>15.1 M</w:t>
            </w:r>
          </w:p>
        </w:tc>
      </w:tr>
      <w:tr>
        <w:tc>
          <w:tcPr>
            <w:tcW w:type="dxa" w:w="4176"/>
          </w:tcPr>
          <w:p>
            <w:pPr>
              <w:spacing w:after="0"/>
            </w:pPr>
            <w:r/>
            <w:r>
              <w:rPr>
                <w:sz w:val="17"/>
              </w:rPr>
              <w:t>Fríos (dormants, inactivos, rezagados, never active)</w:t>
            </w:r>
          </w:p>
        </w:tc>
        <w:tc>
          <w:tcPr>
            <w:tcW w:type="dxa" w:w="803"/>
          </w:tcPr>
          <w:p>
            <w:pPr>
              <w:spacing w:after="0"/>
            </w:pPr>
            <w:r/>
            <w:r>
              <w:rPr>
                <w:sz w:val="17"/>
              </w:rPr>
              <w:t>0.35 %</w:t>
            </w:r>
          </w:p>
        </w:tc>
        <w:tc>
          <w:tcPr>
            <w:tcW w:type="dxa" w:w="1044"/>
          </w:tcPr>
          <w:p>
            <w:pPr>
              <w:spacing w:after="0"/>
            </w:pPr>
            <w:r/>
            <w:r>
              <w:rPr>
                <w:sz w:val="17"/>
              </w:rPr>
              <w:t>4.3</w:t>
            </w:r>
          </w:p>
        </w:tc>
        <w:tc>
          <w:tcPr>
            <w:tcW w:type="dxa" w:w="1044"/>
          </w:tcPr>
          <w:p>
            <w:pPr>
              <w:spacing w:after="0"/>
            </w:pPr>
            <w:r/>
            <w:r>
              <w:rPr>
                <w:sz w:val="17"/>
              </w:rPr>
              <w:t>0.77 %</w:t>
            </w:r>
          </w:p>
        </w:tc>
        <w:tc>
          <w:tcPr>
            <w:tcW w:type="dxa" w:w="803"/>
          </w:tcPr>
          <w:p>
            <w:pPr>
              <w:spacing w:after="0"/>
            </w:pPr>
            <w:r/>
            <w:r>
              <w:rPr>
                <w:sz w:val="17"/>
              </w:rPr>
              <w:t>64.6 %</w:t>
            </w:r>
          </w:p>
        </w:tc>
        <w:tc>
          <w:tcPr>
            <w:tcW w:type="dxa" w:w="803"/>
          </w:tcPr>
          <w:p>
            <w:pPr>
              <w:spacing w:after="0"/>
            </w:pPr>
            <w:r/>
            <w:r>
              <w:rPr>
                <w:sz w:val="17"/>
              </w:rPr>
              <w:t>68.5 %</w:t>
            </w:r>
          </w:p>
        </w:tc>
        <w:tc>
          <w:tcPr>
            <w:tcW w:type="dxa" w:w="964"/>
          </w:tcPr>
          <w:p>
            <w:pPr>
              <w:spacing w:after="0"/>
            </w:pPr>
            <w:r/>
            <w:r>
              <w:rPr>
                <w:sz w:val="17"/>
              </w:rPr>
              <w:t>23.0 M</w:t>
            </w:r>
          </w:p>
        </w:tc>
      </w:tr>
    </w:tbl>
    <w:p>
      <w:pPr>
        <w:spacing w:after="40"/>
      </w:pPr>
    </w:p>
    <w:p>
      <w:pPr>
        <w:spacing w:after="120"/>
      </w:pPr>
      <w:r>
        <w:t>Qué funciona: nuevos responden más en todo (y también se dan de baja más: hay que cuidar la frecuencia, no el mensaje). Activos leen WhatsApp y abren push. Qué no: fríos responden la mitad y se llevan un tercio del gasto de WhatsApp con 1.1 conversiones de referencia por mil contra 17 en activos.</w:t>
      </w:r>
    </w:p>
    <w:p>
      <w:pPr>
        <w:spacing w:after="120"/>
      </w:pPr>
      <w:r>
        <w:t>Regla: la audiencia pesa más que el canal. Fríos: primero push o email de bajo costo para detectar señal, WhatsApp solo a quien reaccionó, 3 toques en 30 días y fuera. Nuevos: una secuencia, 1 email al día, tope de 3 la primera semana. Leads: push de señal e in-app; email solo retargeting del paso que dejaron.</w:t>
      </w:r>
    </w:p>
    <w:p>
      <w:pPr>
        <w:pStyle w:val="Heading3"/>
      </w:pPr>
      <w:r>
        <w:t>C7c. Por gancho</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3181"/>
            <w:shd w:val="clear" w:color="auto" w:fill="E8EEF4"/>
          </w:tcPr>
          <w:p>
            <w:pPr>
              <w:spacing w:after="0"/>
            </w:pPr>
            <w:r>
              <w:rPr>
                <w:b/>
              </w:rPr>
            </w:r>
            <w:r>
              <w:rPr>
                <w:b/>
                <w:sz w:val="17"/>
              </w:rPr>
              <w:t>Gancho</w:t>
            </w:r>
          </w:p>
        </w:tc>
        <w:tc>
          <w:tcPr>
            <w:tcW w:type="dxa" w:w="1123"/>
            <w:shd w:val="clear" w:color="auto" w:fill="E8EEF4"/>
          </w:tcPr>
          <w:p>
            <w:pPr>
              <w:spacing w:after="0"/>
            </w:pPr>
            <w:r>
              <w:rPr>
                <w:b/>
              </w:rPr>
            </w:r>
            <w:r>
              <w:rPr>
                <w:b/>
                <w:sz w:val="17"/>
              </w:rPr>
              <w:t>Email envíos</w:t>
            </w:r>
          </w:p>
        </w:tc>
        <w:tc>
          <w:tcPr>
            <w:tcW w:type="dxa" w:w="936"/>
            <w:shd w:val="clear" w:color="auto" w:fill="E8EEF4"/>
          </w:tcPr>
          <w:p>
            <w:pPr>
              <w:spacing w:after="0"/>
            </w:pPr>
            <w:r>
              <w:rPr>
                <w:b/>
              </w:rPr>
            </w:r>
            <w:r>
              <w:rPr>
                <w:b/>
                <w:sz w:val="17"/>
              </w:rPr>
              <w:t>Email clic</w:t>
            </w:r>
          </w:p>
        </w:tc>
        <w:tc>
          <w:tcPr>
            <w:tcW w:type="dxa" w:w="1216"/>
            <w:shd w:val="clear" w:color="auto" w:fill="E8EEF4"/>
          </w:tcPr>
          <w:p>
            <w:pPr>
              <w:spacing w:after="0"/>
            </w:pPr>
            <w:r>
              <w:rPr>
                <w:b/>
              </w:rPr>
            </w:r>
            <w:r>
              <w:rPr>
                <w:b/>
                <w:sz w:val="17"/>
              </w:rPr>
              <w:t>Bajas por mil</w:t>
            </w:r>
          </w:p>
        </w:tc>
        <w:tc>
          <w:tcPr>
            <w:tcW w:type="dxa" w:w="1216"/>
            <w:shd w:val="clear" w:color="auto" w:fill="E8EEF4"/>
          </w:tcPr>
          <w:p>
            <w:pPr>
              <w:spacing w:after="0"/>
            </w:pPr>
            <w:r>
              <w:rPr>
                <w:b/>
              </w:rPr>
            </w:r>
            <w:r>
              <w:rPr>
                <w:b/>
                <w:sz w:val="17"/>
              </w:rPr>
              <w:t>Push apertura</w:t>
            </w:r>
          </w:p>
        </w:tc>
        <w:tc>
          <w:tcPr>
            <w:tcW w:type="dxa" w:w="936"/>
            <w:shd w:val="clear" w:color="auto" w:fill="E8EEF4"/>
          </w:tcPr>
          <w:p>
            <w:pPr>
              <w:spacing w:after="0"/>
            </w:pPr>
            <w:r>
              <w:rPr>
                <w:b/>
              </w:rPr>
            </w:r>
            <w:r>
              <w:rPr>
                <w:b/>
                <w:sz w:val="17"/>
              </w:rPr>
              <w:t>WA lectura</w:t>
            </w:r>
          </w:p>
        </w:tc>
        <w:tc>
          <w:tcPr>
            <w:tcW w:type="dxa" w:w="1029"/>
            <w:shd w:val="clear" w:color="auto" w:fill="E8EEF4"/>
          </w:tcPr>
          <w:p>
            <w:pPr>
              <w:spacing w:after="0"/>
            </w:pPr>
            <w:r>
              <w:rPr>
                <w:b/>
              </w:rPr>
            </w:r>
            <w:r>
              <w:rPr>
                <w:b/>
                <w:sz w:val="17"/>
              </w:rPr>
              <w:t>In-app clic</w:t>
            </w:r>
          </w:p>
        </w:tc>
      </w:tr>
      <w:tr>
        <w:tc>
          <w:tcPr>
            <w:tcW w:type="dxa" w:w="3181"/>
          </w:tcPr>
          <w:p>
            <w:pPr>
              <w:spacing w:after="0"/>
            </w:pPr>
            <w:r/>
            <w:r>
              <w:rPr>
                <w:sz w:val="17"/>
              </w:rPr>
              <w:t>Retargeting o recordatorio</w:t>
            </w:r>
          </w:p>
        </w:tc>
        <w:tc>
          <w:tcPr>
            <w:tcW w:type="dxa" w:w="1123"/>
          </w:tcPr>
          <w:p>
            <w:pPr>
              <w:spacing w:after="0"/>
            </w:pPr>
            <w:r/>
            <w:r>
              <w:rPr>
                <w:sz w:val="17"/>
              </w:rPr>
              <w:t>23.6 M</w:t>
            </w:r>
          </w:p>
        </w:tc>
        <w:tc>
          <w:tcPr>
            <w:tcW w:type="dxa" w:w="936"/>
          </w:tcPr>
          <w:p>
            <w:pPr>
              <w:spacing w:after="0"/>
            </w:pPr>
            <w:r/>
            <w:r>
              <w:rPr>
                <w:sz w:val="17"/>
              </w:rPr>
              <w:t>3.09 %</w:t>
            </w:r>
          </w:p>
        </w:tc>
        <w:tc>
          <w:tcPr>
            <w:tcW w:type="dxa" w:w="1216"/>
          </w:tcPr>
          <w:p>
            <w:pPr>
              <w:spacing w:after="0"/>
            </w:pPr>
            <w:r/>
            <w:r>
              <w:rPr>
                <w:sz w:val="17"/>
              </w:rPr>
              <w:t>3.8</w:t>
            </w:r>
          </w:p>
        </w:tc>
        <w:tc>
          <w:tcPr>
            <w:tcW w:type="dxa" w:w="1216"/>
          </w:tcPr>
          <w:p>
            <w:pPr>
              <w:spacing w:after="0"/>
            </w:pPr>
            <w:r/>
            <w:r>
              <w:rPr>
                <w:sz w:val="17"/>
              </w:rPr>
              <w:t>2.16 %</w:t>
            </w:r>
          </w:p>
        </w:tc>
        <w:tc>
          <w:tcPr>
            <w:tcW w:type="dxa" w:w="936"/>
          </w:tcPr>
          <w:p>
            <w:pPr>
              <w:spacing w:after="0"/>
            </w:pPr>
            <w:r/>
            <w:r>
              <w:rPr>
                <w:sz w:val="17"/>
              </w:rPr>
              <w:t>70.3 %</w:t>
            </w:r>
          </w:p>
        </w:tc>
        <w:tc>
          <w:tcPr>
            <w:tcW w:type="dxa" w:w="1029"/>
          </w:tcPr>
          <w:p>
            <w:pPr>
              <w:spacing w:after="0"/>
            </w:pPr>
            <w:r/>
            <w:r>
              <w:rPr>
                <w:sz w:val="17"/>
              </w:rPr>
              <w:t>57.9 %</w:t>
            </w:r>
          </w:p>
        </w:tc>
      </w:tr>
      <w:tr>
        <w:tc>
          <w:tcPr>
            <w:tcW w:type="dxa" w:w="3181"/>
          </w:tcPr>
          <w:p>
            <w:pPr>
              <w:spacing w:after="0"/>
            </w:pPr>
            <w:r/>
            <w:r>
              <w:rPr>
                <w:sz w:val="17"/>
              </w:rPr>
              <w:t>Tasa 0</w:t>
            </w:r>
          </w:p>
        </w:tc>
        <w:tc>
          <w:tcPr>
            <w:tcW w:type="dxa" w:w="1123"/>
          </w:tcPr>
          <w:p>
            <w:pPr>
              <w:spacing w:after="0"/>
            </w:pPr>
            <w:r/>
            <w:r>
              <w:rPr>
                <w:sz w:val="17"/>
              </w:rPr>
              <w:t>54.3 M</w:t>
            </w:r>
          </w:p>
        </w:tc>
        <w:tc>
          <w:tcPr>
            <w:tcW w:type="dxa" w:w="936"/>
          </w:tcPr>
          <w:p>
            <w:pPr>
              <w:spacing w:after="0"/>
            </w:pPr>
            <w:r/>
            <w:r>
              <w:rPr>
                <w:sz w:val="17"/>
              </w:rPr>
              <w:t>0.53 %</w:t>
            </w:r>
          </w:p>
        </w:tc>
        <w:tc>
          <w:tcPr>
            <w:tcW w:type="dxa" w:w="1216"/>
          </w:tcPr>
          <w:p>
            <w:pPr>
              <w:spacing w:after="0"/>
            </w:pPr>
            <w:r/>
            <w:r>
              <w:rPr>
                <w:sz w:val="17"/>
              </w:rPr>
              <w:t>4.6</w:t>
            </w:r>
          </w:p>
        </w:tc>
        <w:tc>
          <w:tcPr>
            <w:tcW w:type="dxa" w:w="1216"/>
          </w:tcPr>
          <w:p>
            <w:pPr>
              <w:spacing w:after="0"/>
            </w:pPr>
            <w:r/>
            <w:r>
              <w:rPr>
                <w:sz w:val="17"/>
              </w:rPr>
              <w:t>0.68 %</w:t>
            </w:r>
          </w:p>
        </w:tc>
        <w:tc>
          <w:tcPr>
            <w:tcW w:type="dxa" w:w="936"/>
          </w:tcPr>
          <w:p>
            <w:pPr>
              <w:spacing w:after="0"/>
            </w:pPr>
            <w:r/>
            <w:r>
              <w:rPr>
                <w:sz w:val="17"/>
              </w:rPr>
              <w:t>68.8 %</w:t>
            </w:r>
          </w:p>
        </w:tc>
        <w:tc>
          <w:tcPr>
            <w:tcW w:type="dxa" w:w="1029"/>
          </w:tcPr>
          <w:p>
            <w:pPr>
              <w:spacing w:after="0"/>
            </w:pPr>
            <w:r/>
            <w:r>
              <w:rPr>
                <w:sz w:val="17"/>
              </w:rPr>
              <w:t>21.7 %</w:t>
            </w:r>
          </w:p>
        </w:tc>
      </w:tr>
      <w:tr>
        <w:tc>
          <w:tcPr>
            <w:tcW w:type="dxa" w:w="3181"/>
          </w:tcPr>
          <w:p>
            <w:pPr>
              <w:spacing w:after="0"/>
            </w:pPr>
            <w:r/>
            <w:r>
              <w:rPr>
                <w:sz w:val="17"/>
              </w:rPr>
              <w:t>Descuento, cupón u oferta</w:t>
            </w:r>
          </w:p>
        </w:tc>
        <w:tc>
          <w:tcPr>
            <w:tcW w:type="dxa" w:w="1123"/>
          </w:tcPr>
          <w:p>
            <w:pPr>
              <w:spacing w:after="0"/>
            </w:pPr>
            <w:r/>
            <w:r>
              <w:rPr>
                <w:sz w:val="17"/>
              </w:rPr>
              <w:t>35.0 M</w:t>
            </w:r>
          </w:p>
        </w:tc>
        <w:tc>
          <w:tcPr>
            <w:tcW w:type="dxa" w:w="936"/>
          </w:tcPr>
          <w:p>
            <w:pPr>
              <w:spacing w:after="0"/>
            </w:pPr>
            <w:r/>
            <w:r>
              <w:rPr>
                <w:sz w:val="17"/>
              </w:rPr>
              <w:t>0.41 %</w:t>
            </w:r>
          </w:p>
        </w:tc>
        <w:tc>
          <w:tcPr>
            <w:tcW w:type="dxa" w:w="1216"/>
          </w:tcPr>
          <w:p>
            <w:pPr>
              <w:spacing w:after="0"/>
            </w:pPr>
            <w:r/>
            <w:r>
              <w:rPr>
                <w:sz w:val="17"/>
              </w:rPr>
              <w:t>3.4</w:t>
            </w:r>
          </w:p>
        </w:tc>
        <w:tc>
          <w:tcPr>
            <w:tcW w:type="dxa" w:w="1216"/>
          </w:tcPr>
          <w:p>
            <w:pPr>
              <w:spacing w:after="0"/>
            </w:pPr>
            <w:r/>
            <w:r>
              <w:rPr>
                <w:sz w:val="17"/>
              </w:rPr>
              <w:t>1.38 %</w:t>
            </w:r>
          </w:p>
        </w:tc>
        <w:tc>
          <w:tcPr>
            <w:tcW w:type="dxa" w:w="936"/>
          </w:tcPr>
          <w:p>
            <w:pPr>
              <w:spacing w:after="0"/>
            </w:pPr>
            <w:r/>
            <w:r>
              <w:rPr>
                <w:sz w:val="17"/>
              </w:rPr>
              <w:t>57.8 %</w:t>
            </w:r>
          </w:p>
        </w:tc>
        <w:tc>
          <w:tcPr>
            <w:tcW w:type="dxa" w:w="1029"/>
          </w:tcPr>
          <w:p>
            <w:pPr>
              <w:spacing w:after="0"/>
            </w:pPr>
            <w:r/>
            <w:r>
              <w:rPr>
                <w:sz w:val="17"/>
              </w:rPr>
              <w:t>14.4 %</w:t>
            </w:r>
          </w:p>
        </w:tc>
      </w:tr>
      <w:tr>
        <w:tc>
          <w:tcPr>
            <w:tcW w:type="dxa" w:w="3181"/>
          </w:tcPr>
          <w:p>
            <w:pPr>
              <w:spacing w:after="0"/>
            </w:pPr>
            <w:r/>
            <w:r>
              <w:rPr>
                <w:sz w:val="17"/>
              </w:rPr>
              <w:t>Cross sell</w:t>
            </w:r>
          </w:p>
        </w:tc>
        <w:tc>
          <w:tcPr>
            <w:tcW w:type="dxa" w:w="1123"/>
          </w:tcPr>
          <w:p>
            <w:pPr>
              <w:spacing w:after="0"/>
            </w:pPr>
            <w:r/>
            <w:r>
              <w:rPr>
                <w:sz w:val="17"/>
              </w:rPr>
              <w:t>2.7 M</w:t>
            </w:r>
          </w:p>
        </w:tc>
        <w:tc>
          <w:tcPr>
            <w:tcW w:type="dxa" w:w="936"/>
          </w:tcPr>
          <w:p>
            <w:pPr>
              <w:spacing w:after="0"/>
            </w:pPr>
            <w:r/>
            <w:r>
              <w:rPr>
                <w:sz w:val="17"/>
              </w:rPr>
              <w:t>0.34 %</w:t>
            </w:r>
          </w:p>
        </w:tc>
        <w:tc>
          <w:tcPr>
            <w:tcW w:type="dxa" w:w="1216"/>
          </w:tcPr>
          <w:p>
            <w:pPr>
              <w:spacing w:after="0"/>
            </w:pPr>
            <w:r/>
            <w:r>
              <w:rPr>
                <w:sz w:val="17"/>
              </w:rPr>
              <w:t>2.0</w:t>
            </w:r>
          </w:p>
        </w:tc>
        <w:tc>
          <w:tcPr>
            <w:tcW w:type="dxa" w:w="1216"/>
          </w:tcPr>
          <w:p>
            <w:pPr>
              <w:spacing w:after="0"/>
            </w:pPr>
            <w:r/>
            <w:r>
              <w:rPr>
                <w:sz w:val="17"/>
              </w:rPr>
              <w:t>1.69 %</w:t>
            </w:r>
          </w:p>
        </w:tc>
        <w:tc>
          <w:tcPr>
            <w:tcW w:type="dxa" w:w="936"/>
          </w:tcPr>
          <w:p>
            <w:pPr>
              <w:spacing w:after="0"/>
            </w:pPr>
            <w:r/>
            <w:r>
              <w:rPr>
                <w:sz w:val="17"/>
              </w:rPr>
              <w:t>53.8 %</w:t>
            </w:r>
          </w:p>
        </w:tc>
        <w:tc>
          <w:tcPr>
            <w:tcW w:type="dxa" w:w="1029"/>
          </w:tcPr>
          <w:p>
            <w:pPr>
              <w:spacing w:after="0"/>
            </w:pPr>
            <w:r/>
            <w:r>
              <w:rPr>
                <w:sz w:val="17"/>
              </w:rPr>
              <w:t>24.7 %</w:t>
            </w:r>
          </w:p>
        </w:tc>
      </w:tr>
      <w:tr>
        <w:tc>
          <w:tcPr>
            <w:tcW w:type="dxa" w:w="3181"/>
          </w:tcPr>
          <w:p>
            <w:pPr>
              <w:spacing w:after="0"/>
            </w:pPr>
            <w:r/>
            <w:r>
              <w:rPr>
                <w:sz w:val="17"/>
              </w:rPr>
              <w:t>Referidos</w:t>
            </w:r>
          </w:p>
        </w:tc>
        <w:tc>
          <w:tcPr>
            <w:tcW w:type="dxa" w:w="1123"/>
          </w:tcPr>
          <w:p>
            <w:pPr>
              <w:spacing w:after="0"/>
            </w:pPr>
            <w:r/>
            <w:r>
              <w:rPr>
                <w:sz w:val="17"/>
              </w:rPr>
              <w:t>40.8 M</w:t>
            </w:r>
          </w:p>
        </w:tc>
        <w:tc>
          <w:tcPr>
            <w:tcW w:type="dxa" w:w="936"/>
          </w:tcPr>
          <w:p>
            <w:pPr>
              <w:spacing w:after="0"/>
            </w:pPr>
            <w:r/>
            <w:r>
              <w:rPr>
                <w:sz w:val="17"/>
              </w:rPr>
              <w:t>0.22 %</w:t>
            </w:r>
          </w:p>
        </w:tc>
        <w:tc>
          <w:tcPr>
            <w:tcW w:type="dxa" w:w="1216"/>
          </w:tcPr>
          <w:p>
            <w:pPr>
              <w:spacing w:after="0"/>
            </w:pPr>
            <w:r/>
            <w:r>
              <w:rPr>
                <w:sz w:val="17"/>
              </w:rPr>
              <w:t>4.3</w:t>
            </w:r>
          </w:p>
        </w:tc>
        <w:tc>
          <w:tcPr>
            <w:tcW w:type="dxa" w:w="1216"/>
          </w:tcPr>
          <w:p>
            <w:pPr>
              <w:spacing w:after="0"/>
            </w:pPr>
            <w:r/>
            <w:r>
              <w:rPr>
                <w:sz w:val="17"/>
              </w:rPr>
              <w:t>1.15 %</w:t>
            </w:r>
          </w:p>
        </w:tc>
        <w:tc>
          <w:tcPr>
            <w:tcW w:type="dxa" w:w="936"/>
          </w:tcPr>
          <w:p>
            <w:pPr>
              <w:spacing w:after="0"/>
            </w:pPr>
            <w:r/>
            <w:r>
              <w:rPr>
                <w:sz w:val="17"/>
              </w:rPr>
              <w:t>71.4 %</w:t>
            </w:r>
          </w:p>
        </w:tc>
        <w:tc>
          <w:tcPr>
            <w:tcW w:type="dxa" w:w="1029"/>
          </w:tcPr>
          <w:p>
            <w:pPr>
              <w:spacing w:after="0"/>
            </w:pPr>
            <w:r/>
            <w:r>
              <w:rPr>
                <w:sz w:val="17"/>
              </w:rPr>
              <w:t>42.7 %</w:t>
            </w:r>
          </w:p>
        </w:tc>
      </w:tr>
      <w:tr>
        <w:tc>
          <w:tcPr>
            <w:tcW w:type="dxa" w:w="3181"/>
          </w:tcPr>
          <w:p>
            <w:pPr>
              <w:spacing w:after="0"/>
            </w:pPr>
            <w:r/>
            <w:r>
              <w:rPr>
                <w:sz w:val="17"/>
              </w:rPr>
              <w:t>Lanzamiento, novedades, newsletter</w:t>
            </w:r>
          </w:p>
        </w:tc>
        <w:tc>
          <w:tcPr>
            <w:tcW w:type="dxa" w:w="1123"/>
          </w:tcPr>
          <w:p>
            <w:pPr>
              <w:spacing w:after="0"/>
            </w:pPr>
            <w:r/>
            <w:r>
              <w:rPr>
                <w:sz w:val="17"/>
              </w:rPr>
              <w:t>33.0 M</w:t>
            </w:r>
          </w:p>
        </w:tc>
        <w:tc>
          <w:tcPr>
            <w:tcW w:type="dxa" w:w="936"/>
          </w:tcPr>
          <w:p>
            <w:pPr>
              <w:spacing w:after="0"/>
            </w:pPr>
            <w:r/>
            <w:r>
              <w:rPr>
                <w:sz w:val="17"/>
              </w:rPr>
              <w:t>0.22 %</w:t>
            </w:r>
          </w:p>
        </w:tc>
        <w:tc>
          <w:tcPr>
            <w:tcW w:type="dxa" w:w="1216"/>
          </w:tcPr>
          <w:p>
            <w:pPr>
              <w:spacing w:after="0"/>
            </w:pPr>
            <w:r/>
            <w:r>
              <w:rPr>
                <w:sz w:val="17"/>
              </w:rPr>
              <w:t>5.6</w:t>
            </w:r>
          </w:p>
        </w:tc>
        <w:tc>
          <w:tcPr>
            <w:tcW w:type="dxa" w:w="1216"/>
          </w:tcPr>
          <w:p>
            <w:pPr>
              <w:spacing w:after="0"/>
            </w:pPr>
            <w:r/>
            <w:r>
              <w:rPr>
                <w:sz w:val="17"/>
              </w:rPr>
              <w:t>0.82 %</w:t>
            </w:r>
          </w:p>
        </w:tc>
        <w:tc>
          <w:tcPr>
            <w:tcW w:type="dxa" w:w="936"/>
          </w:tcPr>
          <w:p>
            <w:pPr>
              <w:spacing w:after="0"/>
            </w:pPr>
            <w:r/>
            <w:r>
              <w:rPr>
                <w:sz w:val="17"/>
              </w:rPr>
              <w:t>72.8 %</w:t>
            </w:r>
          </w:p>
        </w:tc>
        <w:tc>
          <w:tcPr>
            <w:tcW w:type="dxa" w:w="1029"/>
          </w:tcPr>
          <w:p>
            <w:pPr>
              <w:spacing w:after="0"/>
            </w:pPr>
            <w:r/>
            <w:r>
              <w:rPr>
                <w:sz w:val="17"/>
              </w:rPr>
              <w:t>54.5 %</w:t>
            </w:r>
          </w:p>
        </w:tc>
      </w:tr>
    </w:tbl>
    <w:p>
      <w:pPr>
        <w:spacing w:after="40"/>
      </w:pPr>
    </w:p>
    <w:p>
      <w:pPr>
        <w:spacing w:after="120"/>
      </w:pPr>
      <w:r>
        <w:t>Qué funciona: recordar algo que el usuario ya empezó responde 5 a 10 veces más que ofrecer algo nuevo, en todos los canales. Qué no: tasa 0 es el gancho más usado y el que peor abre en push; referidos y lanzamientos no funcionan por email (0.22 %) y sí en in-app (43 % y 55 %): el mensaje está bien, el canal no.</w:t>
      </w:r>
    </w:p>
    <w:p>
      <w:pPr>
        <w:spacing w:after="120"/>
      </w:pPr>
      <w:r>
        <w:t>Regla: el gancho principal de email es "lo que dejaste a medias". Referidos, lanzamientos y newsletters van en in-app. Tasa 0 solo con segmento de señal y en push, nunca como email masivo a registrados.</w:t>
      </w:r>
    </w:p>
    <w:p>
      <w:pPr>
        <w:pStyle w:val="Heading3"/>
      </w:pPr>
      <w:r>
        <w:t>C7d. Por número de toques (misma comunicación, mismo usuario, mismo mes; todos los tipos)</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184"/>
            <w:shd w:val="clear" w:color="auto" w:fill="E8EEF4"/>
          </w:tcPr>
          <w:p>
            <w:pPr>
              <w:spacing w:after="0"/>
            </w:pPr>
            <w:r>
              <w:rPr>
                <w:b/>
              </w:rPr>
            </w:r>
            <w:r>
              <w:rPr>
                <w:b/>
                <w:sz w:val="17"/>
              </w:rPr>
              <w:t>Toques</w:t>
            </w:r>
          </w:p>
        </w:tc>
        <w:tc>
          <w:tcPr>
            <w:tcW w:type="dxa" w:w="1691"/>
            <w:shd w:val="clear" w:color="auto" w:fill="E8EEF4"/>
          </w:tcPr>
          <w:p>
            <w:pPr>
              <w:spacing w:after="0"/>
            </w:pPr>
            <w:r>
              <w:rPr>
                <w:b/>
              </w:rPr>
            </w:r>
            <w:r>
              <w:rPr>
                <w:b/>
                <w:sz w:val="17"/>
              </w:rPr>
              <w:t>Email clic</w:t>
            </w:r>
          </w:p>
        </w:tc>
        <w:tc>
          <w:tcPr>
            <w:tcW w:type="dxa" w:w="2367"/>
            <w:shd w:val="clear" w:color="auto" w:fill="E8EEF4"/>
          </w:tcPr>
          <w:p>
            <w:pPr>
              <w:spacing w:after="0"/>
            </w:pPr>
            <w:r>
              <w:rPr>
                <w:b/>
              </w:rPr>
            </w:r>
            <w:r>
              <w:rPr>
                <w:b/>
                <w:sz w:val="17"/>
              </w:rPr>
              <w:t>Email apertura</w:t>
            </w:r>
          </w:p>
        </w:tc>
        <w:tc>
          <w:tcPr>
            <w:tcW w:type="dxa" w:w="2198"/>
            <w:shd w:val="clear" w:color="auto" w:fill="E8EEF4"/>
          </w:tcPr>
          <w:p>
            <w:pPr>
              <w:spacing w:after="0"/>
            </w:pPr>
            <w:r>
              <w:rPr>
                <w:b/>
              </w:rPr>
            </w:r>
            <w:r>
              <w:rPr>
                <w:b/>
                <w:sz w:val="17"/>
              </w:rPr>
              <w:t>Bajas por mil</w:t>
            </w:r>
          </w:p>
        </w:tc>
        <w:tc>
          <w:tcPr>
            <w:tcW w:type="dxa" w:w="2198"/>
            <w:shd w:val="clear" w:color="auto" w:fill="E8EEF4"/>
          </w:tcPr>
          <w:p>
            <w:pPr>
              <w:spacing w:after="0"/>
            </w:pPr>
            <w:r>
              <w:rPr>
                <w:b/>
              </w:rPr>
            </w:r>
            <w:r>
              <w:rPr>
                <w:b/>
                <w:sz w:val="17"/>
              </w:rPr>
              <w:t>Push apertura</w:t>
            </w:r>
          </w:p>
        </w:tc>
      </w:tr>
      <w:tr>
        <w:tc>
          <w:tcPr>
            <w:tcW w:type="dxa" w:w="1184"/>
          </w:tcPr>
          <w:p>
            <w:pPr>
              <w:spacing w:after="0"/>
            </w:pPr>
            <w:r/>
            <w:r>
              <w:rPr>
                <w:sz w:val="17"/>
              </w:rPr>
              <w:t>1</w:t>
            </w:r>
          </w:p>
        </w:tc>
        <w:tc>
          <w:tcPr>
            <w:tcW w:type="dxa" w:w="1691"/>
          </w:tcPr>
          <w:p>
            <w:pPr>
              <w:spacing w:after="0"/>
            </w:pPr>
            <w:r/>
            <w:r>
              <w:rPr>
                <w:sz w:val="17"/>
              </w:rPr>
              <w:t>0.76 %</w:t>
            </w:r>
          </w:p>
        </w:tc>
        <w:tc>
          <w:tcPr>
            <w:tcW w:type="dxa" w:w="2367"/>
          </w:tcPr>
          <w:p>
            <w:pPr>
              <w:spacing w:after="0"/>
            </w:pPr>
            <w:r/>
            <w:r>
              <w:rPr>
                <w:sz w:val="17"/>
              </w:rPr>
              <w:t>21.7 %</w:t>
            </w:r>
          </w:p>
        </w:tc>
        <w:tc>
          <w:tcPr>
            <w:tcW w:type="dxa" w:w="2198"/>
          </w:tcPr>
          <w:p>
            <w:pPr>
              <w:spacing w:after="0"/>
            </w:pPr>
            <w:r/>
            <w:r>
              <w:rPr>
                <w:sz w:val="17"/>
              </w:rPr>
              <w:t>2.2</w:t>
            </w:r>
          </w:p>
        </w:tc>
        <w:tc>
          <w:tcPr>
            <w:tcW w:type="dxa" w:w="2198"/>
          </w:tcPr>
          <w:p>
            <w:pPr>
              <w:spacing w:after="0"/>
            </w:pPr>
            <w:r/>
            <w:r>
              <w:rPr>
                <w:sz w:val="17"/>
              </w:rPr>
              <w:t>1.18 %</w:t>
            </w:r>
          </w:p>
        </w:tc>
      </w:tr>
      <w:tr>
        <w:tc>
          <w:tcPr>
            <w:tcW w:type="dxa" w:w="1184"/>
          </w:tcPr>
          <w:p>
            <w:pPr>
              <w:spacing w:after="0"/>
            </w:pPr>
            <w:r/>
            <w:r>
              <w:rPr>
                <w:sz w:val="17"/>
              </w:rPr>
              <w:t>2</w:t>
            </w:r>
          </w:p>
        </w:tc>
        <w:tc>
          <w:tcPr>
            <w:tcW w:type="dxa" w:w="1691"/>
          </w:tcPr>
          <w:p>
            <w:pPr>
              <w:spacing w:after="0"/>
            </w:pPr>
            <w:r/>
            <w:r>
              <w:rPr>
                <w:sz w:val="17"/>
              </w:rPr>
              <w:t>1.76 %</w:t>
            </w:r>
          </w:p>
        </w:tc>
        <w:tc>
          <w:tcPr>
            <w:tcW w:type="dxa" w:w="2367"/>
          </w:tcPr>
          <w:p>
            <w:pPr>
              <w:spacing w:after="0"/>
            </w:pPr>
            <w:r/>
            <w:r>
              <w:rPr>
                <w:sz w:val="17"/>
              </w:rPr>
              <w:t>35.3 %</w:t>
            </w:r>
          </w:p>
        </w:tc>
        <w:tc>
          <w:tcPr>
            <w:tcW w:type="dxa" w:w="2198"/>
          </w:tcPr>
          <w:p>
            <w:pPr>
              <w:spacing w:after="0"/>
            </w:pPr>
            <w:r/>
            <w:r>
              <w:rPr>
                <w:sz w:val="17"/>
              </w:rPr>
              <w:t>1.5</w:t>
            </w:r>
          </w:p>
        </w:tc>
        <w:tc>
          <w:tcPr>
            <w:tcW w:type="dxa" w:w="2198"/>
          </w:tcPr>
          <w:p>
            <w:pPr>
              <w:spacing w:after="0"/>
            </w:pPr>
            <w:r/>
            <w:r>
              <w:rPr>
                <w:sz w:val="17"/>
              </w:rPr>
              <w:t>2.52 %</w:t>
            </w:r>
          </w:p>
        </w:tc>
      </w:tr>
      <w:tr>
        <w:tc>
          <w:tcPr>
            <w:tcW w:type="dxa" w:w="1184"/>
          </w:tcPr>
          <w:p>
            <w:pPr>
              <w:spacing w:after="0"/>
            </w:pPr>
            <w:r/>
            <w:r>
              <w:rPr>
                <w:sz w:val="17"/>
              </w:rPr>
              <w:t>3 a 4</w:t>
            </w:r>
          </w:p>
        </w:tc>
        <w:tc>
          <w:tcPr>
            <w:tcW w:type="dxa" w:w="1691"/>
          </w:tcPr>
          <w:p>
            <w:pPr>
              <w:spacing w:after="0"/>
            </w:pPr>
            <w:r/>
            <w:r>
              <w:rPr>
                <w:sz w:val="17"/>
              </w:rPr>
              <w:t>0.48 %</w:t>
            </w:r>
          </w:p>
        </w:tc>
        <w:tc>
          <w:tcPr>
            <w:tcW w:type="dxa" w:w="2367"/>
          </w:tcPr>
          <w:p>
            <w:pPr>
              <w:spacing w:after="0"/>
            </w:pPr>
            <w:r/>
            <w:r>
              <w:rPr>
                <w:sz w:val="17"/>
              </w:rPr>
              <w:t>19.2 %</w:t>
            </w:r>
          </w:p>
        </w:tc>
        <w:tc>
          <w:tcPr>
            <w:tcW w:type="dxa" w:w="2198"/>
          </w:tcPr>
          <w:p>
            <w:pPr>
              <w:spacing w:after="0"/>
            </w:pPr>
            <w:r/>
            <w:r>
              <w:rPr>
                <w:sz w:val="17"/>
              </w:rPr>
              <w:t>1.6</w:t>
            </w:r>
          </w:p>
        </w:tc>
        <w:tc>
          <w:tcPr>
            <w:tcW w:type="dxa" w:w="2198"/>
          </w:tcPr>
          <w:p>
            <w:pPr>
              <w:spacing w:after="0"/>
            </w:pPr>
            <w:r/>
            <w:r>
              <w:rPr>
                <w:sz w:val="17"/>
              </w:rPr>
              <w:t>1.56 %</w:t>
            </w:r>
          </w:p>
        </w:tc>
      </w:tr>
      <w:tr>
        <w:tc>
          <w:tcPr>
            <w:tcW w:type="dxa" w:w="1184"/>
          </w:tcPr>
          <w:p>
            <w:pPr>
              <w:spacing w:after="0"/>
            </w:pPr>
            <w:r/>
            <w:r>
              <w:rPr>
                <w:sz w:val="17"/>
              </w:rPr>
              <w:t>5 o más</w:t>
            </w:r>
          </w:p>
        </w:tc>
        <w:tc>
          <w:tcPr>
            <w:tcW w:type="dxa" w:w="1691"/>
          </w:tcPr>
          <w:p>
            <w:pPr>
              <w:spacing w:after="0"/>
            </w:pPr>
            <w:r/>
            <w:r>
              <w:rPr>
                <w:sz w:val="17"/>
              </w:rPr>
              <w:t>0.84 %</w:t>
            </w:r>
          </w:p>
        </w:tc>
        <w:tc>
          <w:tcPr>
            <w:tcW w:type="dxa" w:w="2367"/>
          </w:tcPr>
          <w:p>
            <w:pPr>
              <w:spacing w:after="0"/>
            </w:pPr>
            <w:r/>
            <w:r>
              <w:rPr>
                <w:sz w:val="17"/>
              </w:rPr>
              <w:t>14.1 %</w:t>
            </w:r>
          </w:p>
        </w:tc>
        <w:tc>
          <w:tcPr>
            <w:tcW w:type="dxa" w:w="2198"/>
          </w:tcPr>
          <w:p>
            <w:pPr>
              <w:spacing w:after="0"/>
            </w:pPr>
            <w:r/>
            <w:r>
              <w:rPr>
                <w:sz w:val="17"/>
              </w:rPr>
              <w:t>1.4</w:t>
            </w:r>
          </w:p>
        </w:tc>
        <w:tc>
          <w:tcPr>
            <w:tcW w:type="dxa" w:w="2198"/>
          </w:tcPr>
          <w:p>
            <w:pPr>
              <w:spacing w:after="0"/>
            </w:pPr>
            <w:r/>
            <w:r>
              <w:rPr>
                <w:sz w:val="17"/>
              </w:rPr>
              <w:t>1.11 %</w:t>
            </w:r>
          </w:p>
        </w:tc>
      </w:tr>
    </w:tbl>
    <w:p>
      <w:pPr>
        <w:spacing w:after="40"/>
      </w:pPr>
    </w:p>
    <w:p>
      <w:pPr>
        <w:spacing w:after="120"/>
      </w:pPr>
      <w:r>
        <w:t>Regla: 2 toques, el segundo solo a quien no abrió el primero. El tercero ya no suma.</w:t>
      </w:r>
    </w:p>
    <w:p>
      <w:pPr>
        <w:pStyle w:val="Heading3"/>
      </w:pPr>
      <w:r>
        <w:t>C7e. Por tamaño de la audiencia (usuarios por comunicación y mes; todos los tipos. Solo promocional: 1.15 %, 0.57 % y 0.16 % de clic en email)</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858"/>
            <w:shd w:val="clear" w:color="auto" w:fill="E8EEF4"/>
          </w:tcPr>
          <w:p>
            <w:pPr>
              <w:spacing w:after="0"/>
            </w:pPr>
            <w:r>
              <w:rPr>
                <w:b/>
              </w:rPr>
            </w:r>
            <w:r>
              <w:rPr>
                <w:b/>
                <w:sz w:val="17"/>
              </w:rPr>
              <w:t>Tamaño</w:t>
            </w:r>
          </w:p>
        </w:tc>
        <w:tc>
          <w:tcPr>
            <w:tcW w:type="dxa" w:w="3600"/>
            <w:shd w:val="clear" w:color="auto" w:fill="E8EEF4"/>
          </w:tcPr>
          <w:p>
            <w:pPr>
              <w:spacing w:after="0"/>
            </w:pPr>
            <w:r>
              <w:rPr>
                <w:b/>
              </w:rPr>
            </w:r>
            <w:r>
              <w:rPr>
                <w:b/>
                <w:sz w:val="17"/>
              </w:rPr>
              <w:t>Email clic</w:t>
            </w:r>
          </w:p>
        </w:tc>
        <w:tc>
          <w:tcPr>
            <w:tcW w:type="dxa" w:w="1510"/>
            <w:shd w:val="clear" w:color="auto" w:fill="E8EEF4"/>
          </w:tcPr>
          <w:p>
            <w:pPr>
              <w:spacing w:after="0"/>
            </w:pPr>
            <w:r>
              <w:rPr>
                <w:b/>
              </w:rPr>
            </w:r>
            <w:r>
              <w:rPr>
                <w:b/>
                <w:sz w:val="17"/>
              </w:rPr>
              <w:t>Bajas por mil</w:t>
            </w:r>
          </w:p>
        </w:tc>
        <w:tc>
          <w:tcPr>
            <w:tcW w:type="dxa" w:w="1510"/>
            <w:shd w:val="clear" w:color="auto" w:fill="E8EEF4"/>
          </w:tcPr>
          <w:p>
            <w:pPr>
              <w:spacing w:after="0"/>
            </w:pPr>
            <w:r>
              <w:rPr>
                <w:b/>
              </w:rPr>
            </w:r>
            <w:r>
              <w:rPr>
                <w:b/>
                <w:sz w:val="17"/>
              </w:rPr>
              <w:t>Push apertura</w:t>
            </w:r>
          </w:p>
        </w:tc>
        <w:tc>
          <w:tcPr>
            <w:tcW w:type="dxa" w:w="1161"/>
            <w:shd w:val="clear" w:color="auto" w:fill="E8EEF4"/>
          </w:tcPr>
          <w:p>
            <w:pPr>
              <w:spacing w:after="0"/>
            </w:pPr>
            <w:r>
              <w:rPr>
                <w:b/>
              </w:rPr>
            </w:r>
            <w:r>
              <w:rPr>
                <w:b/>
                <w:sz w:val="17"/>
              </w:rPr>
              <w:t>WA lectura</w:t>
            </w:r>
          </w:p>
        </w:tc>
      </w:tr>
      <w:tr>
        <w:tc>
          <w:tcPr>
            <w:tcW w:type="dxa" w:w="1858"/>
          </w:tcPr>
          <w:p>
            <w:pPr>
              <w:spacing w:after="0"/>
            </w:pPr>
            <w:r/>
            <w:r>
              <w:rPr>
                <w:sz w:val="17"/>
              </w:rPr>
              <w:t>Menos de 10 mil</w:t>
            </w:r>
          </w:p>
        </w:tc>
        <w:tc>
          <w:tcPr>
            <w:tcW w:type="dxa" w:w="3600"/>
          </w:tcPr>
          <w:p>
            <w:pPr>
              <w:spacing w:after="0"/>
            </w:pPr>
            <w:r/>
            <w:r>
              <w:rPr>
                <w:sz w:val="17"/>
              </w:rPr>
              <w:t>6.2 % (casi todo transaccional)</w:t>
            </w:r>
          </w:p>
        </w:tc>
        <w:tc>
          <w:tcPr>
            <w:tcW w:type="dxa" w:w="1510"/>
          </w:tcPr>
          <w:p>
            <w:pPr>
              <w:spacing w:after="0"/>
            </w:pPr>
            <w:r/>
          </w:p>
        </w:tc>
        <w:tc>
          <w:tcPr>
            <w:tcW w:type="dxa" w:w="1510"/>
          </w:tcPr>
          <w:p>
            <w:pPr>
              <w:spacing w:after="0"/>
            </w:pPr>
            <w:r/>
            <w:r>
              <w:rPr>
                <w:sz w:val="17"/>
              </w:rPr>
              <w:t>3.2 %</w:t>
            </w:r>
          </w:p>
        </w:tc>
        <w:tc>
          <w:tcPr>
            <w:tcW w:type="dxa" w:w="1161"/>
          </w:tcPr>
          <w:p>
            <w:pPr>
              <w:spacing w:after="0"/>
            </w:pPr>
            <w:r/>
          </w:p>
        </w:tc>
      </w:tr>
      <w:tr>
        <w:tc>
          <w:tcPr>
            <w:tcW w:type="dxa" w:w="1858"/>
          </w:tcPr>
          <w:p>
            <w:pPr>
              <w:spacing w:after="0"/>
            </w:pPr>
            <w:r/>
            <w:r>
              <w:rPr>
                <w:sz w:val="17"/>
              </w:rPr>
              <w:t>10 mil a 100 mil</w:t>
            </w:r>
          </w:p>
        </w:tc>
        <w:tc>
          <w:tcPr>
            <w:tcW w:type="dxa" w:w="3600"/>
          </w:tcPr>
          <w:p>
            <w:pPr>
              <w:spacing w:after="0"/>
            </w:pPr>
            <w:r/>
            <w:r>
              <w:rPr>
                <w:sz w:val="17"/>
              </w:rPr>
              <w:t>1.63 %</w:t>
            </w:r>
          </w:p>
        </w:tc>
        <w:tc>
          <w:tcPr>
            <w:tcW w:type="dxa" w:w="1510"/>
          </w:tcPr>
          <w:p>
            <w:pPr>
              <w:spacing w:after="0"/>
            </w:pPr>
            <w:r/>
            <w:r>
              <w:rPr>
                <w:sz w:val="17"/>
              </w:rPr>
              <w:t>1.7</w:t>
            </w:r>
          </w:p>
        </w:tc>
        <w:tc>
          <w:tcPr>
            <w:tcW w:type="dxa" w:w="1510"/>
          </w:tcPr>
          <w:p>
            <w:pPr>
              <w:spacing w:after="0"/>
            </w:pPr>
            <w:r/>
            <w:r>
              <w:rPr>
                <w:sz w:val="17"/>
              </w:rPr>
              <w:t>2.24 %</w:t>
            </w:r>
          </w:p>
        </w:tc>
        <w:tc>
          <w:tcPr>
            <w:tcW w:type="dxa" w:w="1161"/>
          </w:tcPr>
          <w:p>
            <w:pPr>
              <w:spacing w:after="0"/>
            </w:pPr>
            <w:r/>
            <w:r>
              <w:rPr>
                <w:sz w:val="17"/>
              </w:rPr>
              <w:t>64.5 %</w:t>
            </w:r>
          </w:p>
        </w:tc>
      </w:tr>
      <w:tr>
        <w:tc>
          <w:tcPr>
            <w:tcW w:type="dxa" w:w="1858"/>
          </w:tcPr>
          <w:p>
            <w:pPr>
              <w:spacing w:after="0"/>
            </w:pPr>
            <w:r/>
            <w:r>
              <w:rPr>
                <w:sz w:val="17"/>
              </w:rPr>
              <w:t>100 mil a 1 M</w:t>
            </w:r>
          </w:p>
        </w:tc>
        <w:tc>
          <w:tcPr>
            <w:tcW w:type="dxa" w:w="3600"/>
          </w:tcPr>
          <w:p>
            <w:pPr>
              <w:spacing w:after="0"/>
            </w:pPr>
            <w:r/>
            <w:r>
              <w:rPr>
                <w:sz w:val="17"/>
              </w:rPr>
              <w:t>0.86 %</w:t>
            </w:r>
          </w:p>
        </w:tc>
        <w:tc>
          <w:tcPr>
            <w:tcW w:type="dxa" w:w="1510"/>
          </w:tcPr>
          <w:p>
            <w:pPr>
              <w:spacing w:after="0"/>
            </w:pPr>
            <w:r/>
            <w:r>
              <w:rPr>
                <w:sz w:val="17"/>
              </w:rPr>
              <w:t>1.5</w:t>
            </w:r>
          </w:p>
        </w:tc>
        <w:tc>
          <w:tcPr>
            <w:tcW w:type="dxa" w:w="1510"/>
          </w:tcPr>
          <w:p>
            <w:pPr>
              <w:spacing w:after="0"/>
            </w:pPr>
            <w:r/>
            <w:r>
              <w:rPr>
                <w:sz w:val="17"/>
              </w:rPr>
              <w:t>1.45 %</w:t>
            </w:r>
          </w:p>
        </w:tc>
        <w:tc>
          <w:tcPr>
            <w:tcW w:type="dxa" w:w="1161"/>
          </w:tcPr>
          <w:p>
            <w:pPr>
              <w:spacing w:after="0"/>
            </w:pPr>
            <w:r/>
            <w:r>
              <w:rPr>
                <w:sz w:val="17"/>
              </w:rPr>
              <w:t>65.8 %</w:t>
            </w:r>
          </w:p>
        </w:tc>
      </w:tr>
      <w:tr>
        <w:tc>
          <w:tcPr>
            <w:tcW w:type="dxa" w:w="1858"/>
          </w:tcPr>
          <w:p>
            <w:pPr>
              <w:spacing w:after="0"/>
            </w:pPr>
            <w:r/>
            <w:r>
              <w:rPr>
                <w:sz w:val="17"/>
              </w:rPr>
              <w:t>1 M o más</w:t>
            </w:r>
          </w:p>
        </w:tc>
        <w:tc>
          <w:tcPr>
            <w:tcW w:type="dxa" w:w="3600"/>
          </w:tcPr>
          <w:p>
            <w:pPr>
              <w:spacing w:after="0"/>
            </w:pPr>
            <w:r/>
            <w:r>
              <w:rPr>
                <w:sz w:val="17"/>
              </w:rPr>
              <w:t>0.16 %</w:t>
            </w:r>
          </w:p>
        </w:tc>
        <w:tc>
          <w:tcPr>
            <w:tcW w:type="dxa" w:w="1510"/>
          </w:tcPr>
          <w:p>
            <w:pPr>
              <w:spacing w:after="0"/>
            </w:pPr>
            <w:r/>
            <w:r>
              <w:rPr>
                <w:sz w:val="17"/>
              </w:rPr>
              <w:t>2.5</w:t>
            </w:r>
          </w:p>
        </w:tc>
        <w:tc>
          <w:tcPr>
            <w:tcW w:type="dxa" w:w="1510"/>
          </w:tcPr>
          <w:p>
            <w:pPr>
              <w:spacing w:after="0"/>
            </w:pPr>
            <w:r/>
            <w:r>
              <w:rPr>
                <w:sz w:val="17"/>
              </w:rPr>
              <w:t>0.87 %</w:t>
            </w:r>
          </w:p>
        </w:tc>
        <w:tc>
          <w:tcPr>
            <w:tcW w:type="dxa" w:w="1161"/>
          </w:tcPr>
          <w:p>
            <w:pPr>
              <w:spacing w:after="0"/>
            </w:pPr>
            <w:r/>
          </w:p>
        </w:tc>
      </w:tr>
    </w:tbl>
    <w:p>
      <w:pPr>
        <w:spacing w:after="40"/>
      </w:pPr>
    </w:p>
    <w:p>
      <w:pPr>
        <w:spacing w:after="120"/>
      </w:pPr>
      <w:r>
        <w:t>Regla: el tamaño óptimo de una pieza promocional es de 10 a 100 mil usuarios con un criterio. Más de 1 M obliga a prueba al 10 % y segmento (B6).</w:t>
      </w:r>
    </w:p>
    <w:p>
      <w:pPr>
        <w:pStyle w:val="Heading3"/>
      </w:pPr>
      <w:r>
        <w:t>C7f. Por patrón de respuesta del usuario (a qué canal responde)</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2004"/>
            <w:shd w:val="clear" w:color="auto" w:fill="E8EEF4"/>
          </w:tcPr>
          <w:p>
            <w:pPr>
              <w:spacing w:after="0"/>
            </w:pPr>
            <w:r>
              <w:rPr>
                <w:b/>
              </w:rPr>
            </w:r>
            <w:r>
              <w:rPr>
                <w:b/>
                <w:sz w:val="17"/>
              </w:rPr>
              <w:t>Responde a</w:t>
            </w:r>
          </w:p>
        </w:tc>
        <w:tc>
          <w:tcPr>
            <w:tcW w:type="dxa" w:w="770"/>
            <w:shd w:val="clear" w:color="auto" w:fill="E8EEF4"/>
          </w:tcPr>
          <w:p>
            <w:pPr>
              <w:spacing w:after="0"/>
            </w:pPr>
            <w:r>
              <w:rPr>
                <w:b/>
              </w:rPr>
            </w:r>
            <w:r>
              <w:rPr>
                <w:b/>
                <w:sz w:val="17"/>
              </w:rPr>
              <w:t>Usuarios</w:t>
            </w:r>
          </w:p>
        </w:tc>
        <w:tc>
          <w:tcPr>
            <w:tcW w:type="dxa" w:w="835"/>
            <w:shd w:val="clear" w:color="auto" w:fill="E8EEF4"/>
          </w:tcPr>
          <w:p>
            <w:pPr>
              <w:spacing w:after="0"/>
            </w:pPr>
            <w:r>
              <w:rPr>
                <w:b/>
              </w:rPr>
            </w:r>
            <w:r>
              <w:rPr>
                <w:b/>
                <w:sz w:val="17"/>
              </w:rPr>
              <w:t>% usuarios</w:t>
            </w:r>
          </w:p>
        </w:tc>
        <w:tc>
          <w:tcPr>
            <w:tcW w:type="dxa" w:w="835"/>
            <w:shd w:val="clear" w:color="auto" w:fill="E8EEF4"/>
          </w:tcPr>
          <w:p>
            <w:pPr>
              <w:spacing w:after="0"/>
            </w:pPr>
            <w:r>
              <w:rPr>
                <w:b/>
              </w:rPr>
            </w:r>
            <w:r>
              <w:rPr>
                <w:b/>
                <w:sz w:val="17"/>
              </w:rPr>
              <w:t>% mensajes</w:t>
            </w:r>
          </w:p>
        </w:tc>
        <w:tc>
          <w:tcPr>
            <w:tcW w:type="dxa" w:w="770"/>
            <w:shd w:val="clear" w:color="auto" w:fill="E8EEF4"/>
          </w:tcPr>
          <w:p>
            <w:pPr>
              <w:spacing w:after="0"/>
            </w:pPr>
            <w:r>
              <w:rPr>
                <w:b/>
              </w:rPr>
            </w:r>
            <w:r>
              <w:rPr>
                <w:b/>
                <w:sz w:val="17"/>
              </w:rPr>
              <w:t>% costo</w:t>
            </w:r>
          </w:p>
        </w:tc>
        <w:tc>
          <w:tcPr>
            <w:tcW w:type="dxa" w:w="2504"/>
            <w:shd w:val="clear" w:color="auto" w:fill="E8EEF4"/>
          </w:tcPr>
          <w:p>
            <w:pPr>
              <w:spacing w:after="0"/>
            </w:pPr>
            <w:r>
              <w:rPr>
                <w:b/>
              </w:rPr>
            </w:r>
            <w:r>
              <w:rPr>
                <w:b/>
                <w:sz w:val="17"/>
              </w:rPr>
              <w:t>Mensajes por usuario (9 meses)</w:t>
            </w:r>
          </w:p>
        </w:tc>
        <w:tc>
          <w:tcPr>
            <w:tcW w:type="dxa" w:w="835"/>
            <w:shd w:val="clear" w:color="auto" w:fill="E8EEF4"/>
          </w:tcPr>
          <w:p>
            <w:pPr>
              <w:spacing w:after="0"/>
            </w:pPr>
            <w:r>
              <w:rPr>
                <w:b/>
              </w:rPr>
            </w:r>
            <w:r>
              <w:rPr>
                <w:b/>
                <w:sz w:val="17"/>
              </w:rPr>
              <w:t>Convierten</w:t>
            </w:r>
          </w:p>
        </w:tc>
        <w:tc>
          <w:tcPr>
            <w:tcW w:type="dxa" w:w="1085"/>
            <w:shd w:val="clear" w:color="auto" w:fill="E8EEF4"/>
          </w:tcPr>
          <w:p>
            <w:pPr>
              <w:spacing w:after="0"/>
            </w:pPr>
            <w:r>
              <w:rPr>
                <w:b/>
              </w:rPr>
            </w:r>
            <w:r>
              <w:rPr>
                <w:b/>
                <w:sz w:val="17"/>
              </w:rPr>
              <w:t>Baja de email</w:t>
            </w:r>
          </w:p>
        </w:tc>
      </w:tr>
      <w:tr>
        <w:tc>
          <w:tcPr>
            <w:tcW w:type="dxa" w:w="2004"/>
          </w:tcPr>
          <w:p>
            <w:pPr>
              <w:spacing w:after="0"/>
            </w:pPr>
            <w:r/>
            <w:r>
              <w:rPr>
                <w:sz w:val="17"/>
              </w:rPr>
              <w:t>Ninguno</w:t>
            </w:r>
          </w:p>
        </w:tc>
        <w:tc>
          <w:tcPr>
            <w:tcW w:type="dxa" w:w="770"/>
          </w:tcPr>
          <w:p>
            <w:pPr>
              <w:spacing w:after="0"/>
            </w:pPr>
            <w:r/>
            <w:r>
              <w:rPr>
                <w:sz w:val="17"/>
              </w:rPr>
              <w:t>14.2 M</w:t>
            </w:r>
          </w:p>
        </w:tc>
        <w:tc>
          <w:tcPr>
            <w:tcW w:type="dxa" w:w="835"/>
          </w:tcPr>
          <w:p>
            <w:pPr>
              <w:spacing w:after="0"/>
            </w:pPr>
            <w:r/>
            <w:r>
              <w:rPr>
                <w:sz w:val="17"/>
              </w:rPr>
              <w:t>72.9 %</w:t>
            </w:r>
          </w:p>
        </w:tc>
        <w:tc>
          <w:tcPr>
            <w:tcW w:type="dxa" w:w="835"/>
          </w:tcPr>
          <w:p>
            <w:pPr>
              <w:spacing w:after="0"/>
            </w:pPr>
            <w:r/>
            <w:r>
              <w:rPr>
                <w:sz w:val="17"/>
              </w:rPr>
              <w:t>23.8 %</w:t>
            </w:r>
          </w:p>
        </w:tc>
        <w:tc>
          <w:tcPr>
            <w:tcW w:type="dxa" w:w="770"/>
          </w:tcPr>
          <w:p>
            <w:pPr>
              <w:spacing w:after="0"/>
            </w:pPr>
            <w:r/>
            <w:r>
              <w:rPr>
                <w:sz w:val="17"/>
              </w:rPr>
              <w:t>13.8 %</w:t>
            </w:r>
          </w:p>
        </w:tc>
        <w:tc>
          <w:tcPr>
            <w:tcW w:type="dxa" w:w="2504"/>
          </w:tcPr>
          <w:p>
            <w:pPr>
              <w:spacing w:after="0"/>
            </w:pPr>
            <w:r/>
            <w:r>
              <w:rPr>
                <w:sz w:val="17"/>
              </w:rPr>
              <w:t>11</w:t>
            </w:r>
          </w:p>
        </w:tc>
        <w:tc>
          <w:tcPr>
            <w:tcW w:type="dxa" w:w="835"/>
          </w:tcPr>
          <w:p>
            <w:pPr>
              <w:spacing w:after="0"/>
            </w:pPr>
            <w:r/>
            <w:r>
              <w:rPr>
                <w:sz w:val="17"/>
              </w:rPr>
              <w:t>0.08 %</w:t>
            </w:r>
          </w:p>
        </w:tc>
        <w:tc>
          <w:tcPr>
            <w:tcW w:type="dxa" w:w="1085"/>
          </w:tcPr>
          <w:p>
            <w:pPr>
              <w:spacing w:after="0"/>
            </w:pPr>
            <w:r/>
            <w:r>
              <w:rPr>
                <w:sz w:val="17"/>
              </w:rPr>
              <w:t>1.4 %</w:t>
            </w:r>
          </w:p>
        </w:tc>
      </w:tr>
      <w:tr>
        <w:tc>
          <w:tcPr>
            <w:tcW w:type="dxa" w:w="2004"/>
          </w:tcPr>
          <w:p>
            <w:pPr>
              <w:spacing w:after="0"/>
            </w:pPr>
            <w:r/>
            <w:r>
              <w:rPr>
                <w:sz w:val="17"/>
              </w:rPr>
              <w:t>Solo WhatsApp</w:t>
            </w:r>
          </w:p>
        </w:tc>
        <w:tc>
          <w:tcPr>
            <w:tcW w:type="dxa" w:w="770"/>
          </w:tcPr>
          <w:p>
            <w:pPr>
              <w:spacing w:after="0"/>
            </w:pPr>
            <w:r/>
            <w:r>
              <w:rPr>
                <w:sz w:val="17"/>
              </w:rPr>
              <w:t>1.6 M</w:t>
            </w:r>
          </w:p>
        </w:tc>
        <w:tc>
          <w:tcPr>
            <w:tcW w:type="dxa" w:w="835"/>
          </w:tcPr>
          <w:p>
            <w:pPr>
              <w:spacing w:after="0"/>
            </w:pPr>
            <w:r/>
            <w:r>
              <w:rPr>
                <w:sz w:val="17"/>
              </w:rPr>
              <w:t>8.1 %</w:t>
            </w:r>
          </w:p>
        </w:tc>
        <w:tc>
          <w:tcPr>
            <w:tcW w:type="dxa" w:w="835"/>
          </w:tcPr>
          <w:p>
            <w:pPr>
              <w:spacing w:after="0"/>
            </w:pPr>
            <w:r/>
            <w:r>
              <w:rPr>
                <w:sz w:val="17"/>
              </w:rPr>
              <w:t>14.9 %</w:t>
            </w:r>
          </w:p>
        </w:tc>
        <w:tc>
          <w:tcPr>
            <w:tcW w:type="dxa" w:w="770"/>
          </w:tcPr>
          <w:p>
            <w:pPr>
              <w:spacing w:after="0"/>
            </w:pPr>
            <w:r/>
            <w:r>
              <w:rPr>
                <w:sz w:val="17"/>
              </w:rPr>
              <w:t>34.2 %</w:t>
            </w:r>
          </w:p>
        </w:tc>
        <w:tc>
          <w:tcPr>
            <w:tcW w:type="dxa" w:w="2504"/>
          </w:tcPr>
          <w:p>
            <w:pPr>
              <w:spacing w:after="0"/>
            </w:pPr>
            <w:r/>
            <w:r>
              <w:rPr>
                <w:sz w:val="17"/>
              </w:rPr>
              <w:t>63</w:t>
            </w:r>
          </w:p>
        </w:tc>
        <w:tc>
          <w:tcPr>
            <w:tcW w:type="dxa" w:w="835"/>
          </w:tcPr>
          <w:p>
            <w:pPr>
              <w:spacing w:after="0"/>
            </w:pPr>
            <w:r/>
            <w:r>
              <w:rPr>
                <w:sz w:val="17"/>
              </w:rPr>
              <w:t>2.0 %</w:t>
            </w:r>
          </w:p>
        </w:tc>
        <w:tc>
          <w:tcPr>
            <w:tcW w:type="dxa" w:w="1085"/>
          </w:tcPr>
          <w:p>
            <w:pPr>
              <w:spacing w:after="0"/>
            </w:pPr>
            <w:r/>
            <w:r>
              <w:rPr>
                <w:sz w:val="17"/>
              </w:rPr>
              <w:t>3.4 %</w:t>
            </w:r>
          </w:p>
        </w:tc>
      </w:tr>
      <w:tr>
        <w:tc>
          <w:tcPr>
            <w:tcW w:type="dxa" w:w="2004"/>
          </w:tcPr>
          <w:p>
            <w:pPr>
              <w:spacing w:after="0"/>
            </w:pPr>
            <w:r/>
            <w:r>
              <w:rPr>
                <w:sz w:val="17"/>
              </w:rPr>
              <w:t>Solo in-app</w:t>
            </w:r>
          </w:p>
        </w:tc>
        <w:tc>
          <w:tcPr>
            <w:tcW w:type="dxa" w:w="770"/>
          </w:tcPr>
          <w:p>
            <w:pPr>
              <w:spacing w:after="0"/>
            </w:pPr>
            <w:r/>
            <w:r>
              <w:rPr>
                <w:sz w:val="17"/>
              </w:rPr>
              <w:t>1.1 M</w:t>
            </w:r>
          </w:p>
        </w:tc>
        <w:tc>
          <w:tcPr>
            <w:tcW w:type="dxa" w:w="835"/>
          </w:tcPr>
          <w:p>
            <w:pPr>
              <w:spacing w:after="0"/>
            </w:pPr>
            <w:r/>
            <w:r>
              <w:rPr>
                <w:sz w:val="17"/>
              </w:rPr>
              <w:t>5.5 %</w:t>
            </w:r>
          </w:p>
        </w:tc>
        <w:tc>
          <w:tcPr>
            <w:tcW w:type="dxa" w:w="835"/>
          </w:tcPr>
          <w:p>
            <w:pPr>
              <w:spacing w:after="0"/>
            </w:pPr>
            <w:r/>
            <w:r>
              <w:rPr>
                <w:sz w:val="17"/>
              </w:rPr>
              <w:t>6.9 %</w:t>
            </w:r>
          </w:p>
        </w:tc>
        <w:tc>
          <w:tcPr>
            <w:tcW w:type="dxa" w:w="770"/>
          </w:tcPr>
          <w:p>
            <w:pPr>
              <w:spacing w:after="0"/>
            </w:pPr>
            <w:r/>
            <w:r>
              <w:rPr>
                <w:sz w:val="17"/>
              </w:rPr>
              <w:t>3.7 %</w:t>
            </w:r>
          </w:p>
        </w:tc>
        <w:tc>
          <w:tcPr>
            <w:tcW w:type="dxa" w:w="2504"/>
          </w:tcPr>
          <w:p>
            <w:pPr>
              <w:spacing w:after="0"/>
            </w:pPr>
            <w:r/>
            <w:r>
              <w:rPr>
                <w:sz w:val="17"/>
              </w:rPr>
              <w:t>43</w:t>
            </w:r>
          </w:p>
        </w:tc>
        <w:tc>
          <w:tcPr>
            <w:tcW w:type="dxa" w:w="835"/>
          </w:tcPr>
          <w:p>
            <w:pPr>
              <w:spacing w:after="0"/>
            </w:pPr>
            <w:r/>
            <w:r>
              <w:rPr>
                <w:sz w:val="17"/>
              </w:rPr>
              <w:t>8.8 %</w:t>
            </w:r>
          </w:p>
        </w:tc>
        <w:tc>
          <w:tcPr>
            <w:tcW w:type="dxa" w:w="1085"/>
          </w:tcPr>
          <w:p>
            <w:pPr>
              <w:spacing w:after="0"/>
            </w:pPr>
            <w:r/>
            <w:r>
              <w:rPr>
                <w:sz w:val="17"/>
              </w:rPr>
              <w:t>1.7 %</w:t>
            </w:r>
          </w:p>
        </w:tc>
      </w:tr>
      <w:tr>
        <w:tc>
          <w:tcPr>
            <w:tcW w:type="dxa" w:w="2004"/>
          </w:tcPr>
          <w:p>
            <w:pPr>
              <w:spacing w:after="0"/>
            </w:pPr>
            <w:r/>
            <w:r>
              <w:rPr>
                <w:sz w:val="17"/>
              </w:rPr>
              <w:t>WhatsApp + in-app</w:t>
            </w:r>
          </w:p>
        </w:tc>
        <w:tc>
          <w:tcPr>
            <w:tcW w:type="dxa" w:w="770"/>
          </w:tcPr>
          <w:p>
            <w:pPr>
              <w:spacing w:after="0"/>
            </w:pPr>
            <w:r/>
            <w:r>
              <w:rPr>
                <w:sz w:val="17"/>
              </w:rPr>
              <w:t>511 mil</w:t>
            </w:r>
          </w:p>
        </w:tc>
        <w:tc>
          <w:tcPr>
            <w:tcW w:type="dxa" w:w="835"/>
          </w:tcPr>
          <w:p>
            <w:pPr>
              <w:spacing w:after="0"/>
            </w:pPr>
            <w:r/>
            <w:r>
              <w:rPr>
                <w:sz w:val="17"/>
              </w:rPr>
              <w:t>2.6 %</w:t>
            </w:r>
          </w:p>
        </w:tc>
        <w:tc>
          <w:tcPr>
            <w:tcW w:type="dxa" w:w="835"/>
          </w:tcPr>
          <w:p>
            <w:pPr>
              <w:spacing w:after="0"/>
            </w:pPr>
            <w:r/>
            <w:r>
              <w:rPr>
                <w:sz w:val="17"/>
              </w:rPr>
              <w:t>9.2 %</w:t>
            </w:r>
          </w:p>
        </w:tc>
        <w:tc>
          <w:tcPr>
            <w:tcW w:type="dxa" w:w="770"/>
          </w:tcPr>
          <w:p>
            <w:pPr>
              <w:spacing w:after="0"/>
            </w:pPr>
            <w:r/>
            <w:r>
              <w:rPr>
                <w:sz w:val="17"/>
              </w:rPr>
              <w:t>11.5 %</w:t>
            </w:r>
          </w:p>
        </w:tc>
        <w:tc>
          <w:tcPr>
            <w:tcW w:type="dxa" w:w="2504"/>
          </w:tcPr>
          <w:p>
            <w:pPr>
              <w:spacing w:after="0"/>
            </w:pPr>
            <w:r/>
            <w:r>
              <w:rPr>
                <w:sz w:val="17"/>
              </w:rPr>
              <w:t>120</w:t>
            </w:r>
          </w:p>
        </w:tc>
        <w:tc>
          <w:tcPr>
            <w:tcW w:type="dxa" w:w="835"/>
          </w:tcPr>
          <w:p>
            <w:pPr>
              <w:spacing w:after="0"/>
            </w:pPr>
            <w:r/>
            <w:r>
              <w:rPr>
                <w:sz w:val="17"/>
              </w:rPr>
              <w:t>37.3 %</w:t>
            </w:r>
          </w:p>
        </w:tc>
        <w:tc>
          <w:tcPr>
            <w:tcW w:type="dxa" w:w="1085"/>
          </w:tcPr>
          <w:p>
            <w:pPr>
              <w:spacing w:after="0"/>
            </w:pPr>
            <w:r/>
            <w:r>
              <w:rPr>
                <w:sz w:val="17"/>
              </w:rPr>
              <w:t>2.9 %</w:t>
            </w:r>
          </w:p>
        </w:tc>
      </w:tr>
      <w:tr>
        <w:tc>
          <w:tcPr>
            <w:tcW w:type="dxa" w:w="2004"/>
          </w:tcPr>
          <w:p>
            <w:pPr>
              <w:spacing w:after="0"/>
            </w:pPr>
            <w:r/>
            <w:r>
              <w:rPr>
                <w:sz w:val="17"/>
              </w:rPr>
              <w:t>Push + WhatsApp + in-app</w:t>
            </w:r>
          </w:p>
        </w:tc>
        <w:tc>
          <w:tcPr>
            <w:tcW w:type="dxa" w:w="770"/>
          </w:tcPr>
          <w:p>
            <w:pPr>
              <w:spacing w:after="0"/>
            </w:pPr>
            <w:r/>
            <w:r>
              <w:rPr>
                <w:sz w:val="17"/>
              </w:rPr>
              <w:t>371 mil</w:t>
            </w:r>
          </w:p>
        </w:tc>
        <w:tc>
          <w:tcPr>
            <w:tcW w:type="dxa" w:w="835"/>
          </w:tcPr>
          <w:p>
            <w:pPr>
              <w:spacing w:after="0"/>
            </w:pPr>
            <w:r/>
            <w:r>
              <w:rPr>
                <w:sz w:val="17"/>
              </w:rPr>
              <w:t>1.9 %</w:t>
            </w:r>
          </w:p>
        </w:tc>
        <w:tc>
          <w:tcPr>
            <w:tcW w:type="dxa" w:w="835"/>
          </w:tcPr>
          <w:p>
            <w:pPr>
              <w:spacing w:after="0"/>
            </w:pPr>
            <w:r/>
            <w:r>
              <w:rPr>
                <w:sz w:val="17"/>
              </w:rPr>
              <w:t>12.9 %</w:t>
            </w:r>
          </w:p>
        </w:tc>
        <w:tc>
          <w:tcPr>
            <w:tcW w:type="dxa" w:w="770"/>
          </w:tcPr>
          <w:p>
            <w:pPr>
              <w:spacing w:after="0"/>
            </w:pPr>
            <w:r/>
            <w:r>
              <w:rPr>
                <w:sz w:val="17"/>
              </w:rPr>
              <w:t>10.5 %</w:t>
            </w:r>
          </w:p>
        </w:tc>
        <w:tc>
          <w:tcPr>
            <w:tcW w:type="dxa" w:w="2504"/>
          </w:tcPr>
          <w:p>
            <w:pPr>
              <w:spacing w:after="0"/>
            </w:pPr>
            <w:r/>
            <w:r>
              <w:rPr>
                <w:sz w:val="17"/>
              </w:rPr>
              <w:t>234</w:t>
            </w:r>
          </w:p>
        </w:tc>
        <w:tc>
          <w:tcPr>
            <w:tcW w:type="dxa" w:w="835"/>
          </w:tcPr>
          <w:p>
            <w:pPr>
              <w:spacing w:after="0"/>
            </w:pPr>
            <w:r/>
            <w:r>
              <w:rPr>
                <w:sz w:val="17"/>
              </w:rPr>
              <w:t>62.1 %</w:t>
            </w:r>
          </w:p>
        </w:tc>
        <w:tc>
          <w:tcPr>
            <w:tcW w:type="dxa" w:w="1085"/>
          </w:tcPr>
          <w:p>
            <w:pPr>
              <w:spacing w:after="0"/>
            </w:pPr>
            <w:r/>
            <w:r>
              <w:rPr>
                <w:sz w:val="17"/>
              </w:rPr>
              <w:t>2.1 %</w:t>
            </w:r>
          </w:p>
        </w:tc>
      </w:tr>
      <w:tr>
        <w:tc>
          <w:tcPr>
            <w:tcW w:type="dxa" w:w="2004"/>
          </w:tcPr>
          <w:p>
            <w:pPr>
              <w:spacing w:after="0"/>
            </w:pPr>
            <w:r/>
            <w:r>
              <w:rPr>
                <w:sz w:val="17"/>
              </w:rPr>
              <w:t>Solo email</w:t>
            </w:r>
          </w:p>
        </w:tc>
        <w:tc>
          <w:tcPr>
            <w:tcW w:type="dxa" w:w="770"/>
          </w:tcPr>
          <w:p>
            <w:pPr>
              <w:spacing w:after="0"/>
            </w:pPr>
            <w:r/>
            <w:r>
              <w:rPr>
                <w:sz w:val="17"/>
              </w:rPr>
              <w:t>365 mil</w:t>
            </w:r>
          </w:p>
        </w:tc>
        <w:tc>
          <w:tcPr>
            <w:tcW w:type="dxa" w:w="835"/>
          </w:tcPr>
          <w:p>
            <w:pPr>
              <w:spacing w:after="0"/>
            </w:pPr>
            <w:r/>
            <w:r>
              <w:rPr>
                <w:sz w:val="17"/>
              </w:rPr>
              <w:t>1.9 %</w:t>
            </w:r>
          </w:p>
        </w:tc>
        <w:tc>
          <w:tcPr>
            <w:tcW w:type="dxa" w:w="835"/>
          </w:tcPr>
          <w:p>
            <w:pPr>
              <w:spacing w:after="0"/>
            </w:pPr>
            <w:r/>
            <w:r>
              <w:rPr>
                <w:sz w:val="17"/>
              </w:rPr>
              <w:t>1.8 %</w:t>
            </w:r>
          </w:p>
        </w:tc>
        <w:tc>
          <w:tcPr>
            <w:tcW w:type="dxa" w:w="770"/>
          </w:tcPr>
          <w:p>
            <w:pPr>
              <w:spacing w:after="0"/>
            </w:pPr>
            <w:r/>
            <w:r>
              <w:rPr>
                <w:sz w:val="17"/>
              </w:rPr>
              <w:t>1.2 %</w:t>
            </w:r>
          </w:p>
        </w:tc>
        <w:tc>
          <w:tcPr>
            <w:tcW w:type="dxa" w:w="2504"/>
          </w:tcPr>
          <w:p>
            <w:pPr>
              <w:spacing w:after="0"/>
            </w:pPr>
            <w:r/>
            <w:r>
              <w:rPr>
                <w:sz w:val="17"/>
              </w:rPr>
              <w:t>33</w:t>
            </w:r>
          </w:p>
        </w:tc>
        <w:tc>
          <w:tcPr>
            <w:tcW w:type="dxa" w:w="835"/>
          </w:tcPr>
          <w:p>
            <w:pPr>
              <w:spacing w:after="0"/>
            </w:pPr>
            <w:r/>
            <w:r>
              <w:rPr>
                <w:sz w:val="17"/>
              </w:rPr>
              <w:t>5.0 %</w:t>
            </w:r>
          </w:p>
        </w:tc>
        <w:tc>
          <w:tcPr>
            <w:tcW w:type="dxa" w:w="1085"/>
          </w:tcPr>
          <w:p>
            <w:pPr>
              <w:spacing w:after="0"/>
            </w:pPr>
            <w:r/>
            <w:r>
              <w:rPr>
                <w:sz w:val="17"/>
              </w:rPr>
              <w:t>15.8 %</w:t>
            </w:r>
          </w:p>
        </w:tc>
      </w:tr>
      <w:tr>
        <w:tc>
          <w:tcPr>
            <w:tcW w:type="dxa" w:w="2004"/>
          </w:tcPr>
          <w:p>
            <w:pPr>
              <w:spacing w:after="0"/>
            </w:pPr>
            <w:r/>
            <w:r>
              <w:rPr>
                <w:sz w:val="17"/>
              </w:rPr>
              <w:t>Los cuatro canales</w:t>
            </w:r>
          </w:p>
        </w:tc>
        <w:tc>
          <w:tcPr>
            <w:tcW w:type="dxa" w:w="770"/>
          </w:tcPr>
          <w:p>
            <w:pPr>
              <w:spacing w:after="0"/>
            </w:pPr>
            <w:r/>
            <w:r>
              <w:rPr>
                <w:sz w:val="17"/>
              </w:rPr>
              <w:t>255 mil</w:t>
            </w:r>
          </w:p>
        </w:tc>
        <w:tc>
          <w:tcPr>
            <w:tcW w:type="dxa" w:w="835"/>
          </w:tcPr>
          <w:p>
            <w:pPr>
              <w:spacing w:after="0"/>
            </w:pPr>
            <w:r/>
            <w:r>
              <w:rPr>
                <w:sz w:val="17"/>
              </w:rPr>
              <w:t>1.3 %</w:t>
            </w:r>
          </w:p>
        </w:tc>
        <w:tc>
          <w:tcPr>
            <w:tcW w:type="dxa" w:w="835"/>
          </w:tcPr>
          <w:p>
            <w:pPr>
              <w:spacing w:after="0"/>
            </w:pPr>
            <w:r/>
            <w:r>
              <w:rPr>
                <w:sz w:val="17"/>
              </w:rPr>
              <w:t>10.0 %</w:t>
            </w:r>
          </w:p>
        </w:tc>
        <w:tc>
          <w:tcPr>
            <w:tcW w:type="dxa" w:w="770"/>
          </w:tcPr>
          <w:p>
            <w:pPr>
              <w:spacing w:after="0"/>
            </w:pPr>
            <w:r/>
            <w:r>
              <w:rPr>
                <w:sz w:val="17"/>
              </w:rPr>
              <w:t>8.2 %</w:t>
            </w:r>
          </w:p>
        </w:tc>
        <w:tc>
          <w:tcPr>
            <w:tcW w:type="dxa" w:w="2504"/>
          </w:tcPr>
          <w:p>
            <w:pPr>
              <w:spacing w:after="0"/>
            </w:pPr>
            <w:r/>
            <w:r>
              <w:rPr>
                <w:sz w:val="17"/>
              </w:rPr>
              <w:t>262</w:t>
            </w:r>
          </w:p>
        </w:tc>
        <w:tc>
          <w:tcPr>
            <w:tcW w:type="dxa" w:w="835"/>
          </w:tcPr>
          <w:p>
            <w:pPr>
              <w:spacing w:after="0"/>
            </w:pPr>
            <w:r/>
            <w:r>
              <w:rPr>
                <w:sz w:val="17"/>
              </w:rPr>
              <w:t>75.5 %</w:t>
            </w:r>
          </w:p>
        </w:tc>
        <w:tc>
          <w:tcPr>
            <w:tcW w:type="dxa" w:w="1085"/>
          </w:tcPr>
          <w:p>
            <w:pPr>
              <w:spacing w:after="0"/>
            </w:pPr>
            <w:r/>
            <w:r>
              <w:rPr>
                <w:sz w:val="17"/>
              </w:rPr>
              <w:t>5.1 %</w:t>
            </w:r>
          </w:p>
        </w:tc>
      </w:tr>
    </w:tbl>
    <w:p>
      <w:pPr>
        <w:spacing w:after="40"/>
      </w:pPr>
    </w:p>
    <w:p>
      <w:pPr>
        <w:spacing w:after="120"/>
      </w:pPr>
      <w:r>
        <w:t>Qué dice: quien responde a varios canales convierte mucho más, pero no porque los canales conviertan, sino porque es cliente activo que usa la app. Sirve para segmentar, no para atribuir. Quien solo responde a WhatsApp es 8 % de los usuarios y 34 % del costo, y recibe 58 M emails y 21 M push que nunca abre. Quien solo responde a email es quien más se da de baja (15.8 %): el lector de email que no usa la app se cansa.</w:t>
      </w:r>
    </w:p>
    <w:p>
      <w:pPr>
        <w:spacing w:after="120"/>
      </w:pPr>
      <w:r>
        <w:t xml:space="preserve">Regla: </w:t>
      </w:r>
      <w:r>
        <w:rPr>
          <w:rFonts w:ascii="Consolas" w:hAnsi="Consolas" w:eastAsia="Consolas"/>
          <w:color w:val="1F4E79"/>
        </w:rPr>
        <w:t>brz_canal_preferido_90d</w:t>
      </w:r>
      <w:r>
        <w:t xml:space="preserve"> como regla de envío (B3) y el patrón de respuesta como segmentación de valor: a los multicanal (4 % de los usuarios) se les cuida la frecuencia porque son los que convierten; a los "solo WhatsApp" se les quita email y push; a los "ninguno" se les aplica B4.</w:t>
      </w:r>
    </w:p>
    <w:p>
      <w:pPr>
        <w:pStyle w:val="Heading2"/>
      </w:pPr>
      <w:r>
        <w:t>C8. Usuarios nuevos (primer email de febrero en adelante)</w:t>
      </w:r>
    </w:p>
    <w:p>
      <w:pPr>
        <w:spacing w:after="120"/>
      </w:pPr>
      <w:r>
        <w:t>Cifras (158,520 bajas de nuevos; Insights, bajas):</w:t>
      </w:r>
    </w:p>
    <w:tbl>
      <w:tblPr>
        <w:tblStyle w:val="TableGrid"/>
        <w:tblW w:type="auto" w:w="0"/>
        <w:jc w:val="center"/>
        <w:tblLayout w:type="fixed"/>
        <w:tblLook w:firstColumn="1" w:firstRow="1" w:lastColumn="0" w:lastRow="0" w:noHBand="0" w:noVBand="1" w:val="04A0"/>
      </w:tblPr>
      <w:tblGrid>
        <w:gridCol w:w="4986"/>
        <w:gridCol w:w="4986"/>
      </w:tblGrid>
      <w:tr>
        <w:tc>
          <w:tcPr>
            <w:tcW w:type="dxa" w:w="4506"/>
            <w:shd w:val="clear" w:color="auto" w:fill="E8EEF4"/>
          </w:tcPr>
          <w:p>
            <w:pPr>
              <w:spacing w:after="0"/>
            </w:pPr>
            <w:r>
              <w:rPr>
                <w:b/>
              </w:rPr>
            </w:r>
          </w:p>
        </w:tc>
        <w:tc>
          <w:tcPr>
            <w:tcW w:type="dxa" w:w="5132"/>
            <w:shd w:val="clear" w:color="auto" w:fill="E8EEF4"/>
          </w:tcPr>
          <w:p>
            <w:pPr>
              <w:spacing w:after="0"/>
            </w:pPr>
            <w:r>
              <w:rPr>
                <w:b/>
              </w:rPr>
            </w:r>
            <w:r>
              <w:rPr>
                <w:b/>
                <w:sz w:val="17"/>
              </w:rPr>
              <w:t>Valor</w:t>
            </w:r>
          </w:p>
        </w:tc>
      </w:tr>
      <w:tr>
        <w:tc>
          <w:tcPr>
            <w:tcW w:type="dxa" w:w="4506"/>
          </w:tcPr>
          <w:p>
            <w:pPr>
              <w:spacing w:after="0"/>
            </w:pPr>
            <w:r/>
            <w:r>
              <w:rPr>
                <w:sz w:val="17"/>
              </w:rPr>
              <w:t>Días hasta la baja (mediana)</w:t>
            </w:r>
          </w:p>
        </w:tc>
        <w:tc>
          <w:tcPr>
            <w:tcW w:type="dxa" w:w="5132"/>
          </w:tcPr>
          <w:p>
            <w:pPr>
              <w:spacing w:after="0"/>
            </w:pPr>
            <w:r/>
            <w:r>
              <w:rPr>
                <w:sz w:val="17"/>
              </w:rPr>
              <w:t>27</w:t>
            </w:r>
          </w:p>
        </w:tc>
      </w:tr>
      <w:tr>
        <w:tc>
          <w:tcPr>
            <w:tcW w:type="dxa" w:w="4506"/>
          </w:tcPr>
          <w:p>
            <w:pPr>
              <w:spacing w:after="0"/>
            </w:pPr>
            <w:r/>
            <w:r>
              <w:rPr>
                <w:sz w:val="17"/>
              </w:rPr>
              <w:t>Emails antes de la baja (mediana)</w:t>
            </w:r>
          </w:p>
        </w:tc>
        <w:tc>
          <w:tcPr>
            <w:tcW w:type="dxa" w:w="5132"/>
          </w:tcPr>
          <w:p>
            <w:pPr>
              <w:spacing w:after="0"/>
            </w:pPr>
            <w:r/>
            <w:r>
              <w:rPr>
                <w:sz w:val="17"/>
              </w:rPr>
              <w:t>5</w:t>
            </w:r>
          </w:p>
        </w:tc>
      </w:tr>
      <w:tr>
        <w:tc>
          <w:tcPr>
            <w:tcW w:type="dxa" w:w="4506"/>
          </w:tcPr>
          <w:p>
            <w:pPr>
              <w:spacing w:after="0"/>
            </w:pPr>
            <w:r/>
            <w:r>
              <w:rPr>
                <w:sz w:val="17"/>
              </w:rPr>
              <w:t>Familias distintas antes de la baja</w:t>
            </w:r>
          </w:p>
        </w:tc>
        <w:tc>
          <w:tcPr>
            <w:tcW w:type="dxa" w:w="5132"/>
          </w:tcPr>
          <w:p>
            <w:pPr>
              <w:spacing w:after="0"/>
            </w:pPr>
            <w:r/>
            <w:r>
              <w:rPr>
                <w:sz w:val="17"/>
              </w:rPr>
              <w:t>4.2</w:t>
            </w:r>
          </w:p>
        </w:tc>
      </w:tr>
      <w:tr>
        <w:tc>
          <w:tcPr>
            <w:tcW w:type="dxa" w:w="4506"/>
          </w:tcPr>
          <w:p>
            <w:pPr>
              <w:spacing w:after="0"/>
            </w:pPr>
            <w:r/>
            <w:r>
              <w:rPr>
                <w:sz w:val="17"/>
              </w:rPr>
              <w:t>Se dan de baja con el primer email</w:t>
            </w:r>
          </w:p>
        </w:tc>
        <w:tc>
          <w:tcPr>
            <w:tcW w:type="dxa" w:w="5132"/>
          </w:tcPr>
          <w:p>
            <w:pPr>
              <w:spacing w:after="0"/>
            </w:pPr>
            <w:r/>
            <w:r>
              <w:rPr>
                <w:sz w:val="17"/>
              </w:rPr>
              <w:t>33 %</w:t>
            </w:r>
          </w:p>
        </w:tc>
      </w:tr>
      <w:tr>
        <w:tc>
          <w:tcPr>
            <w:tcW w:type="dxa" w:w="4506"/>
          </w:tcPr>
          <w:p>
            <w:pPr>
              <w:spacing w:after="0"/>
            </w:pPr>
            <w:r/>
            <w:r>
              <w:rPr>
                <w:sz w:val="17"/>
              </w:rPr>
              <w:t>Se van en la primera semana</w:t>
            </w:r>
          </w:p>
        </w:tc>
        <w:tc>
          <w:tcPr>
            <w:tcW w:type="dxa" w:w="5132"/>
          </w:tcPr>
          <w:p>
            <w:pPr>
              <w:spacing w:after="0"/>
            </w:pPr>
            <w:r/>
            <w:r>
              <w:rPr>
                <w:sz w:val="17"/>
              </w:rPr>
              <w:t>31 % (recibieron 4.4 emails en esos días)</w:t>
            </w:r>
          </w:p>
        </w:tc>
      </w:tr>
      <w:tr>
        <w:tc>
          <w:tcPr>
            <w:tcW w:type="dxa" w:w="4506"/>
          </w:tcPr>
          <w:p>
            <w:pPr>
              <w:spacing w:after="0"/>
            </w:pPr>
            <w:r/>
            <w:r>
              <w:rPr>
                <w:sz w:val="17"/>
              </w:rPr>
              <w:t>Se van en los primeros 30 días</w:t>
            </w:r>
          </w:p>
        </w:tc>
        <w:tc>
          <w:tcPr>
            <w:tcW w:type="dxa" w:w="5132"/>
          </w:tcPr>
          <w:p>
            <w:pPr>
              <w:spacing w:after="0"/>
            </w:pPr>
            <w:r/>
            <w:r>
              <w:rPr>
                <w:sz w:val="17"/>
              </w:rPr>
              <w:t>53 %</w:t>
            </w:r>
          </w:p>
        </w:tc>
      </w:tr>
      <w:tr>
        <w:tc>
          <w:tcPr>
            <w:tcW w:type="dxa" w:w="4506"/>
          </w:tcPr>
          <w:p>
            <w:pPr>
              <w:spacing w:after="0"/>
            </w:pPr>
            <w:r/>
            <w:r>
              <w:rPr>
                <w:sz w:val="17"/>
              </w:rPr>
              <w:t>Se van el mismo día del primer email</w:t>
            </w:r>
          </w:p>
        </w:tc>
        <w:tc>
          <w:tcPr>
            <w:tcW w:type="dxa" w:w="5132"/>
          </w:tcPr>
          <w:p>
            <w:pPr>
              <w:spacing w:after="0"/>
            </w:pPr>
            <w:r/>
            <w:r>
              <w:rPr>
                <w:sz w:val="17"/>
              </w:rPr>
              <w:t>7.4 % (estándar: 5 % o menos)</w:t>
            </w:r>
          </w:p>
        </w:tc>
      </w:tr>
    </w:tbl>
    <w:p>
      <w:pPr>
        <w:spacing w:after="40"/>
      </w:pPr>
    </w:p>
    <w:p>
      <w:pPr>
        <w:spacing w:after="120"/>
      </w:pPr>
      <w:r>
        <w:t>Qué causa las bajas de nuevos: un envío masivo sin filtro (BillPay Intro: 31 % de las bajas, 1.8 emails antes), el retargeting de registro de Marketing (Veriff, PersonalInfo, NIP: 22 %, mediana 3 a 4 días, 5 a 8 emails en ese lapso), los rescates de Tasa 0 (8.5 %), B0211 Tasa 0 (4.6 %, a los 92 días y 18 emails), el transaccional FraudRisk (4.1 %, al día 2).</w:t>
      </w:r>
    </w:p>
    <w:p>
      <w:pPr>
        <w:spacing w:after="120"/>
      </w:pPr>
      <w:r>
        <w:t>Regla: un usuario nuevo entra a una sola secuencia de bienvenida por producto y nada más hasta que termina (hoy recibe 4.2 familias distintas). Retargeting de registro a 1 email al día y máximo 3 la primera semana; el resto por push e in-app. Si no abrió ninguno de sus primeros 5 emails, se pausa lo promocional por email. Ningún envío masivo incluye a usuarios con menos de 30 días.</w:t>
      </w:r>
    </w:p>
    <w:p>
      <w:pPr>
        <w:pStyle w:val="Heading2"/>
      </w:pPr>
      <w:r>
        <w:t>C9. Dimensiones que faltan y qué harán cuando lleguen</w:t>
      </w:r>
    </w:p>
    <w:p>
      <w:pPr>
        <w:pStyle w:val="ListBullet"/>
      </w:pPr>
      <w:r>
        <w:rPr>
          <w:b/>
        </w:rPr>
        <w:t>Día de la semana (E10).</w:t>
      </w:r>
      <w:r>
        <w:t xml:space="preserve"> Respuesta y bajas por día de la semana, canal y equipo. Dará la regla de qué día mandar cada canal y si el fin de semana castiga (RescateFinesDeSemana es la pieza de push más grande de Marketing y abre 0.76 %).</w:t>
      </w:r>
    </w:p>
    <w:p>
      <w:pPr>
        <w:pStyle w:val="ListBullet"/>
      </w:pPr>
      <w:r>
        <w:rPr>
          <w:b/>
        </w:rPr>
        <w:t>Segmentación real de Braze (E11).</w:t>
      </w:r>
      <w:r>
        <w:t xml:space="preserve"> Las columnas </w:t>
      </w:r>
      <w:r>
        <w:rPr>
          <w:rFonts w:ascii="Consolas" w:hAnsi="Consolas" w:eastAsia="Consolas"/>
          <w:color w:val="1F4E79"/>
        </w:rPr>
        <w:t>segment</w:t>
      </w:r>
      <w:r>
        <w:t xml:space="preserve">, </w:t>
      </w:r>
      <w:r>
        <w:rPr>
          <w:rFonts w:ascii="Consolas" w:hAnsi="Consolas" w:eastAsia="Consolas"/>
          <w:color w:val="1F4E79"/>
        </w:rPr>
        <w:t>subsegment</w:t>
      </w:r>
      <w:r>
        <w:t xml:space="preserve"> y </w:t>
      </w:r>
      <w:r>
        <w:rPr>
          <w:rFonts w:ascii="Consolas" w:hAnsi="Consolas" w:eastAsia="Consolas"/>
          <w:color w:val="1F4E79"/>
        </w:rPr>
        <w:t>group</w:t>
      </w:r>
      <w:r>
        <w:t xml:space="preserve"> de la tabla de envíos dirán cuántos segmentos distintos están en uso, cuáles se repiten entre equipos y cuántos tienen menos de mil envíos. Es el insumo para cerrar la lista de A4.</w:t>
      </w:r>
    </w:p>
    <w:p>
      <w:pPr>
        <w:pStyle w:val="ListBullet"/>
      </w:pPr>
      <w:r>
        <w:rPr>
          <w:b/>
        </w:rPr>
        <w:t>Antigüedad (E12).</w:t>
      </w:r>
      <w:r>
        <w:t xml:space="preserve"> Respuesta y baja por meses desde el alta. Dirá hasta qué antigüedad vale la pena insistir y a partir de cuál la base es fría aunque el nombre diga "recurrentes".</w:t>
      </w:r>
    </w:p>
    <w:p>
      <w:pPr>
        <w:pStyle w:val="ListBullet"/>
      </w:pPr>
      <w:r>
        <w:rPr>
          <w:b/>
        </w:rPr>
        <w:t>Tipo de celular, hora y región.</w:t>
      </w:r>
      <w:r>
        <w:t xml:space="preserve"> No salen de Databricks con las tablas actuales. Si hace falta, la hora podría pedirse al equipo de datos como columna nueva (</w:t>
      </w:r>
      <w:r>
        <w:rPr>
          <w:rFonts w:ascii="Consolas" w:hAnsi="Consolas" w:eastAsia="Consolas"/>
          <w:color w:val="1F4E79"/>
        </w:rPr>
        <w:t>event_time</w:t>
      </w:r>
      <w:r>
        <w:t xml:space="preserve">); el dispositivo necesitaría una llave de usuario en </w:t>
      </w:r>
      <w:r>
        <w:rPr>
          <w:rFonts w:ascii="Consolas" w:hAnsi="Consolas" w:eastAsia="Consolas"/>
          <w:color w:val="1F4E79"/>
        </w:rPr>
        <w:t>_dim_braze_device</w:t>
      </w:r>
      <w:r>
        <w:t>.</w:t>
      </w:r>
    </w:p>
    <w:p>
      <w:pPr>
        <w:pStyle w:val="Heading1"/>
        <w:pageBreakBefore/>
      </w:pPr>
      <w:r>
        <w:t>Parte D. Operación: crear, mejorar, revisar</w:t>
      </w:r>
    </w:p>
    <w:p>
      <w:pPr>
        <w:pStyle w:val="Heading2"/>
      </w:pPr>
      <w:r>
        <w:t>D1. Guía para crear algo nuevo</w:t>
      </w:r>
    </w:p>
    <w:p>
      <w:pPr>
        <w:spacing w:after="120"/>
      </w:pPr>
      <w:r>
        <w:t>Nueve preguntas, en este orden. Si una no tiene respuesta, la pieza no se crea todavía.</w:t>
      </w:r>
    </w:p>
    <w:p>
      <w:pPr>
        <w:spacing w:after="120"/>
      </w:pPr>
      <w:r>
        <w:rPr>
          <w:b/>
        </w:rPr>
        <w:t>1. Qué quiero que pase (objetivo y tipo).</w:t>
      </w:r>
      <w:r>
        <w:t xml:space="preserve"> Un solo evento de conversión de A9 y una ventana (7 días). Declarar el tipo: promocional, lifecycle, transaccional o cobranza. Eso fija qué reglas de la Parte B aplican.</w:t>
      </w:r>
    </w:p>
    <w:p>
      <w:pPr>
        <w:spacing w:after="120"/>
      </w:pPr>
      <w:r>
        <w:rPr>
          <w:b/>
        </w:rPr>
        <w:t>2. A quién (audiencia).</w:t>
      </w:r>
      <w:r>
        <w:t xml:space="preserve"> Un segmento maestro de A4 más, si hace falta, un filtro dentro del Canvas. Nunca </w:t>
      </w:r>
      <w:r>
        <w:rPr>
          <w:rFonts w:ascii="Consolas" w:hAnsi="Consolas" w:eastAsia="Consolas"/>
          <w:color w:val="1F4E79"/>
        </w:rPr>
        <w:t>Todos</w:t>
      </w:r>
      <w:r>
        <w:t xml:space="preserve"> sin filtro de respuesta en 90 días. Checar que el dueño del segmento no tenga ya una pieza viva con el mismo gancho (pestaña Catálogo del Sheets, filtrar por audiencia y gancho): si la hay, se mejora esa, no se crea otra.</w:t>
      </w:r>
    </w:p>
    <w:tbl>
      <w:tblPr>
        <w:tblStyle w:val="TableGrid"/>
        <w:tblW w:type="auto" w:w="0"/>
        <w:jc w:val="center"/>
        <w:tblLayout w:type="fixed"/>
        <w:tblLook w:firstColumn="1" w:firstRow="1" w:lastColumn="0" w:lastRow="0" w:noHBand="0" w:noVBand="1" w:val="04A0"/>
      </w:tblPr>
      <w:tblGrid>
        <w:gridCol w:w="4986"/>
        <w:gridCol w:w="4986"/>
      </w:tblGrid>
      <w:tr>
        <w:tc>
          <w:tcPr>
            <w:tcW w:type="dxa" w:w="4283"/>
            <w:shd w:val="clear" w:color="auto" w:fill="E8EEF4"/>
          </w:tcPr>
          <w:p>
            <w:pPr>
              <w:spacing w:after="0"/>
            </w:pPr>
            <w:r>
              <w:rPr>
                <w:b/>
              </w:rPr>
            </w:r>
            <w:r>
              <w:rPr>
                <w:b/>
                <w:sz w:val="17"/>
              </w:rPr>
              <w:t>Si la audiencia es</w:t>
            </w:r>
          </w:p>
        </w:tc>
        <w:tc>
          <w:tcPr>
            <w:tcW w:type="dxa" w:w="5354"/>
            <w:shd w:val="clear" w:color="auto" w:fill="E8EEF4"/>
          </w:tcPr>
          <w:p>
            <w:pPr>
              <w:spacing w:after="0"/>
            </w:pPr>
            <w:r>
              <w:rPr>
                <w:b/>
              </w:rPr>
            </w:r>
            <w:r>
              <w:rPr>
                <w:b/>
                <w:sz w:val="17"/>
              </w:rPr>
              <w:t>Entonces</w:t>
            </w:r>
          </w:p>
        </w:tc>
      </w:tr>
      <w:tr>
        <w:tc>
          <w:tcPr>
            <w:tcW w:type="dxa" w:w="4283"/>
          </w:tcPr>
          <w:p>
            <w:pPr>
              <w:spacing w:after="0"/>
            </w:pPr>
            <w:r/>
            <w:r>
              <w:rPr>
                <w:sz w:val="17"/>
              </w:rPr>
              <w:t>Nuevos (0 a 30 días)</w:t>
            </w:r>
          </w:p>
        </w:tc>
        <w:tc>
          <w:tcPr>
            <w:tcW w:type="dxa" w:w="5354"/>
          </w:tcPr>
          <w:p>
            <w:pPr>
              <w:spacing w:after="0"/>
            </w:pPr>
            <w:r/>
            <w:r>
              <w:rPr>
                <w:sz w:val="17"/>
              </w:rPr>
              <w:t>Solo la secuencia de bienvenida de su producto. Si ya existe, la pieza nueva es un paso de esa secuencia, no un Canvas aparte.</w:t>
            </w:r>
          </w:p>
        </w:tc>
      </w:tr>
      <w:tr>
        <w:tc>
          <w:tcPr>
            <w:tcW w:type="dxa" w:w="4283"/>
          </w:tcPr>
          <w:p>
            <w:pPr>
              <w:spacing w:after="0"/>
            </w:pPr>
            <w:r/>
            <w:r>
              <w:rPr>
                <w:sz w:val="17"/>
              </w:rPr>
              <w:t>Leads o registrados sin crédito</w:t>
            </w:r>
          </w:p>
        </w:tc>
        <w:tc>
          <w:tcPr>
            <w:tcW w:type="dxa" w:w="5354"/>
          </w:tcPr>
          <w:p>
            <w:pPr>
              <w:spacing w:after="0"/>
            </w:pPr>
            <w:r/>
            <w:r>
              <w:rPr>
                <w:sz w:val="17"/>
              </w:rPr>
              <w:t>Push de señal e in-app. Email solo si es retargeting del paso exacto que dejaron. Nada de WhatsApp como primer toque.</w:t>
            </w:r>
          </w:p>
        </w:tc>
      </w:tr>
      <w:tr>
        <w:tc>
          <w:tcPr>
            <w:tcW w:type="dxa" w:w="4283"/>
          </w:tcPr>
          <w:p>
            <w:pPr>
              <w:spacing w:after="0"/>
            </w:pPr>
            <w:r/>
            <w:r>
              <w:rPr>
                <w:sz w:val="17"/>
              </w:rPr>
              <w:t>Activos y recurrentes</w:t>
            </w:r>
          </w:p>
        </w:tc>
        <w:tc>
          <w:tcPr>
            <w:tcW w:type="dxa" w:w="5354"/>
          </w:tcPr>
          <w:p>
            <w:pPr>
              <w:spacing w:after="0"/>
            </w:pPr>
            <w:r/>
            <w:r>
              <w:rPr>
                <w:sz w:val="17"/>
              </w:rPr>
              <w:t>Cualquier canal; WhatsApp permitido si la pieza vale más de 1 MXN por entregado. In-app primero si el mensaje es informativo (novedad, referidos).</w:t>
            </w:r>
          </w:p>
        </w:tc>
      </w:tr>
      <w:tr>
        <w:tc>
          <w:tcPr>
            <w:tcW w:type="dxa" w:w="4283"/>
          </w:tcPr>
          <w:p>
            <w:pPr>
              <w:spacing w:after="0"/>
            </w:pPr>
            <w:r/>
            <w:r>
              <w:rPr>
                <w:sz w:val="17"/>
              </w:rPr>
              <w:t>Fríos (inactivos, dormants, churn, never active)</w:t>
            </w:r>
          </w:p>
        </w:tc>
        <w:tc>
          <w:tcPr>
            <w:tcW w:type="dxa" w:w="5354"/>
          </w:tcPr>
          <w:p>
            <w:pPr>
              <w:spacing w:after="0"/>
            </w:pPr>
            <w:r/>
            <w:r>
              <w:rPr>
                <w:sz w:val="17"/>
              </w:rPr>
              <w:t>Dueño único (Lending). 3 toques en 30 días, canal más barato, un solo gancho. WhatsApp solo a quien reaccionó. Después, fuera.</w:t>
            </w:r>
          </w:p>
        </w:tc>
      </w:tr>
      <w:tr>
        <w:tc>
          <w:tcPr>
            <w:tcW w:type="dxa" w:w="4283"/>
          </w:tcPr>
          <w:p>
            <w:pPr>
              <w:spacing w:after="0"/>
            </w:pPr>
            <w:r/>
            <w:r>
              <w:rPr>
                <w:sz w:val="17"/>
              </w:rPr>
              <w:t>Comercios (B2B)</w:t>
            </w:r>
          </w:p>
        </w:tc>
        <w:tc>
          <w:tcPr>
            <w:tcW w:type="dxa" w:w="5354"/>
          </w:tcPr>
          <w:p>
            <w:pPr>
              <w:spacing w:after="0"/>
            </w:pPr>
            <w:r/>
            <w:r>
              <w:rPr>
                <w:sz w:val="17"/>
              </w:rPr>
              <w:t xml:space="preserve">Email y WhatsApp a </w:t>
            </w:r>
            <w:r>
              <w:rPr>
                <w:rFonts w:ascii="Consolas" w:hAnsi="Consolas" w:eastAsia="Consolas"/>
                <w:color w:val="1F4E79"/>
                <w:sz w:val="17"/>
              </w:rPr>
              <w:t>SEG-KPayB2B-Comercios-*</w:t>
            </w:r>
            <w:r>
              <w:rPr>
                <w:sz w:val="17"/>
              </w:rPr>
              <w:t>; no entra al frequency cap de consumidores pero sí a la nomenclatura.</w:t>
            </w:r>
          </w:p>
        </w:tc>
      </w:tr>
      <w:tr>
        <w:tc>
          <w:tcPr>
            <w:tcW w:type="dxa" w:w="4283"/>
          </w:tcPr>
          <w:p>
            <w:pPr>
              <w:spacing w:after="0"/>
            </w:pPr>
            <w:r/>
            <w:r>
              <w:rPr>
                <w:sz w:val="17"/>
              </w:rPr>
              <w:t>Cobranza</w:t>
            </w:r>
          </w:p>
        </w:tc>
        <w:tc>
          <w:tcPr>
            <w:tcW w:type="dxa" w:w="5354"/>
          </w:tcPr>
          <w:p>
            <w:pPr>
              <w:spacing w:after="0"/>
            </w:pPr>
            <w:r/>
            <w:r>
              <w:rPr>
                <w:sz w:val="17"/>
              </w:rPr>
              <w:t>Fuera de las reglas promocionales. Ticket C####, Blacklist según Legal.</w:t>
            </w:r>
          </w:p>
        </w:tc>
      </w:tr>
    </w:tbl>
    <w:p>
      <w:pPr>
        <w:spacing w:after="40"/>
      </w:pPr>
    </w:p>
    <w:p>
      <w:pPr>
        <w:spacing w:after="120"/>
      </w:pPr>
      <w:r>
        <w:rPr>
          <w:b/>
        </w:rPr>
        <w:t>3. Por qué canal.</w:t>
      </w:r>
      <w:r>
        <w:t xml:space="preserve"> Según la audiencia (arriba) y el gancho (abajo). Si el usuario ya tiene </w:t>
      </w:r>
      <w:r>
        <w:rPr>
          <w:rFonts w:ascii="Consolas" w:hAnsi="Consolas" w:eastAsia="Consolas"/>
          <w:color w:val="1F4E79"/>
        </w:rPr>
        <w:t>brz_canal_preferido_90d</w:t>
      </w:r>
      <w:r>
        <w:t>, ese canal manda. Orden de costo cuando hay empate: in-app, push, email, WhatsApp.</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542"/>
            <w:shd w:val="clear" w:color="auto" w:fill="E8EEF4"/>
          </w:tcPr>
          <w:p>
            <w:pPr>
              <w:spacing w:after="0"/>
            </w:pPr>
            <w:r>
              <w:rPr>
                <w:b/>
              </w:rPr>
            </w:r>
            <w:r>
              <w:rPr>
                <w:b/>
                <w:sz w:val="17"/>
              </w:rPr>
              <w:t>Si el gancho es</w:t>
            </w:r>
          </w:p>
        </w:tc>
        <w:tc>
          <w:tcPr>
            <w:tcW w:type="dxa" w:w="3548"/>
            <w:shd w:val="clear" w:color="auto" w:fill="E8EEF4"/>
          </w:tcPr>
          <w:p>
            <w:pPr>
              <w:spacing w:after="0"/>
            </w:pPr>
            <w:r>
              <w:rPr>
                <w:b/>
              </w:rPr>
            </w:r>
            <w:r>
              <w:rPr>
                <w:b/>
                <w:sz w:val="17"/>
              </w:rPr>
              <w:t>Canal principal</w:t>
            </w:r>
          </w:p>
        </w:tc>
        <w:tc>
          <w:tcPr>
            <w:tcW w:type="dxa" w:w="3548"/>
            <w:shd w:val="clear" w:color="auto" w:fill="E8EEF4"/>
          </w:tcPr>
          <w:p>
            <w:pPr>
              <w:spacing w:after="0"/>
            </w:pPr>
            <w:r>
              <w:rPr>
                <w:b/>
              </w:rPr>
            </w:r>
            <w:r>
              <w:rPr>
                <w:b/>
                <w:sz w:val="17"/>
              </w:rPr>
              <w:t>Por qué</w:t>
            </w:r>
          </w:p>
        </w:tc>
      </w:tr>
      <w:tr>
        <w:tc>
          <w:tcPr>
            <w:tcW w:type="dxa" w:w="2542"/>
          </w:tcPr>
          <w:p>
            <w:pPr>
              <w:spacing w:after="0"/>
            </w:pPr>
            <w:r/>
            <w:r>
              <w:rPr>
                <w:sz w:val="17"/>
              </w:rPr>
              <w:t>Retargeting o recordatorio de algo empezado</w:t>
            </w:r>
          </w:p>
        </w:tc>
        <w:tc>
          <w:tcPr>
            <w:tcW w:type="dxa" w:w="3548"/>
          </w:tcPr>
          <w:p>
            <w:pPr>
              <w:spacing w:after="0"/>
            </w:pPr>
            <w:r/>
            <w:r>
              <w:rPr>
                <w:sz w:val="17"/>
              </w:rPr>
              <w:t>Email y push</w:t>
            </w:r>
          </w:p>
        </w:tc>
        <w:tc>
          <w:tcPr>
            <w:tcW w:type="dxa" w:w="3548"/>
          </w:tcPr>
          <w:p>
            <w:pPr>
              <w:spacing w:after="0"/>
            </w:pPr>
            <w:r/>
            <w:r>
              <w:rPr>
                <w:sz w:val="17"/>
              </w:rPr>
              <w:t>3.09 % de clic en email, 2.16 % en push; es lo único que funciona bien por email</w:t>
            </w:r>
          </w:p>
        </w:tc>
      </w:tr>
      <w:tr>
        <w:tc>
          <w:tcPr>
            <w:tcW w:type="dxa" w:w="2542"/>
          </w:tcPr>
          <w:p>
            <w:pPr>
              <w:spacing w:after="0"/>
            </w:pPr>
            <w:r/>
            <w:r>
              <w:rPr>
                <w:sz w:val="17"/>
              </w:rPr>
              <w:t>Referidos</w:t>
            </w:r>
          </w:p>
        </w:tc>
        <w:tc>
          <w:tcPr>
            <w:tcW w:type="dxa" w:w="3548"/>
          </w:tcPr>
          <w:p>
            <w:pPr>
              <w:spacing w:after="0"/>
            </w:pPr>
            <w:r/>
            <w:r>
              <w:rPr>
                <w:sz w:val="17"/>
              </w:rPr>
              <w:t>In-app, luego push a clientes activos</w:t>
            </w:r>
          </w:p>
        </w:tc>
        <w:tc>
          <w:tcPr>
            <w:tcW w:type="dxa" w:w="3548"/>
          </w:tcPr>
          <w:p>
            <w:pPr>
              <w:spacing w:after="0"/>
            </w:pPr>
            <w:r/>
            <w:r>
              <w:rPr>
                <w:sz w:val="17"/>
              </w:rPr>
              <w:t>42.7 % en in-app contra 0.22 % en email</w:t>
            </w:r>
          </w:p>
        </w:tc>
      </w:tr>
      <w:tr>
        <w:tc>
          <w:tcPr>
            <w:tcW w:type="dxa" w:w="2542"/>
          </w:tcPr>
          <w:p>
            <w:pPr>
              <w:spacing w:after="0"/>
            </w:pPr>
            <w:r/>
            <w:r>
              <w:rPr>
                <w:sz w:val="17"/>
              </w:rPr>
              <w:t>Lanzamiento, novedad, newsletter</w:t>
            </w:r>
          </w:p>
        </w:tc>
        <w:tc>
          <w:tcPr>
            <w:tcW w:type="dxa" w:w="3548"/>
          </w:tcPr>
          <w:p>
            <w:pPr>
              <w:spacing w:after="0"/>
            </w:pPr>
            <w:r/>
            <w:r>
              <w:rPr>
                <w:sz w:val="17"/>
              </w:rPr>
              <w:t>In-app</w:t>
            </w:r>
          </w:p>
        </w:tc>
        <w:tc>
          <w:tcPr>
            <w:tcW w:type="dxa" w:w="3548"/>
          </w:tcPr>
          <w:p>
            <w:pPr>
              <w:spacing w:after="0"/>
            </w:pPr>
            <w:r/>
            <w:r>
              <w:rPr>
                <w:sz w:val="17"/>
              </w:rPr>
              <w:t>54.5 % contra 0.22 % en email y 5.6 bajas por mil</w:t>
            </w:r>
          </w:p>
        </w:tc>
      </w:tr>
      <w:tr>
        <w:tc>
          <w:tcPr>
            <w:tcW w:type="dxa" w:w="2542"/>
          </w:tcPr>
          <w:p>
            <w:pPr>
              <w:spacing w:after="0"/>
            </w:pPr>
            <w:r/>
            <w:r>
              <w:rPr>
                <w:sz w:val="17"/>
              </w:rPr>
              <w:t>Tasa 0</w:t>
            </w:r>
          </w:p>
        </w:tc>
        <w:tc>
          <w:tcPr>
            <w:tcW w:type="dxa" w:w="3548"/>
          </w:tcPr>
          <w:p>
            <w:pPr>
              <w:spacing w:after="0"/>
            </w:pPr>
            <w:r/>
            <w:r>
              <w:rPr>
                <w:sz w:val="17"/>
              </w:rPr>
              <w:t>Push a quien abrió un push en 60 días; WhatsApp solo detrás de esa señal</w:t>
            </w:r>
          </w:p>
        </w:tc>
        <w:tc>
          <w:tcPr>
            <w:tcW w:type="dxa" w:w="3548"/>
          </w:tcPr>
          <w:p>
            <w:pPr>
              <w:spacing w:after="0"/>
            </w:pPr>
            <w:r/>
            <w:r>
              <w:rPr>
                <w:sz w:val="17"/>
              </w:rPr>
              <w:t>0.53 % en email; quien abre el push convierte 6 a 18 veces más, pero abre menos del 1 %</w:t>
            </w:r>
          </w:p>
        </w:tc>
      </w:tr>
      <w:tr>
        <w:tc>
          <w:tcPr>
            <w:tcW w:type="dxa" w:w="2542"/>
          </w:tcPr>
          <w:p>
            <w:pPr>
              <w:spacing w:after="0"/>
            </w:pPr>
            <w:r/>
            <w:r>
              <w:rPr>
                <w:sz w:val="17"/>
              </w:rPr>
              <w:t>Descuento, cupón, evento comercial (KPay)</w:t>
            </w:r>
          </w:p>
        </w:tc>
        <w:tc>
          <w:tcPr>
            <w:tcW w:type="dxa" w:w="3548"/>
          </w:tcPr>
          <w:p>
            <w:pPr>
              <w:spacing w:after="0"/>
            </w:pPr>
            <w:r/>
            <w:r>
              <w:rPr>
                <w:sz w:val="17"/>
              </w:rPr>
              <w:t>Push y WhatsApp a recurrentes de KPay</w:t>
            </w:r>
          </w:p>
        </w:tc>
        <w:tc>
          <w:tcPr>
            <w:tcW w:type="dxa" w:w="3548"/>
          </w:tcPr>
          <w:p>
            <w:pPr>
              <w:spacing w:after="0"/>
            </w:pPr>
            <w:r/>
            <w:r>
              <w:rPr>
                <w:sz w:val="17"/>
              </w:rPr>
              <w:t>Es el canal de Sales que funciona (78 % de lectura); email 0.21 %</w:t>
            </w:r>
          </w:p>
        </w:tc>
      </w:tr>
      <w:tr>
        <w:tc>
          <w:tcPr>
            <w:tcW w:type="dxa" w:w="2542"/>
          </w:tcPr>
          <w:p>
            <w:pPr>
              <w:spacing w:after="0"/>
            </w:pPr>
            <w:r/>
            <w:r>
              <w:rPr>
                <w:sz w:val="17"/>
              </w:rPr>
              <w:t>Encuesta, aviso legal</w:t>
            </w:r>
          </w:p>
        </w:tc>
        <w:tc>
          <w:tcPr>
            <w:tcW w:type="dxa" w:w="3548"/>
          </w:tcPr>
          <w:p>
            <w:pPr>
              <w:spacing w:after="0"/>
            </w:pPr>
            <w:r/>
            <w:r>
              <w:rPr>
                <w:sz w:val="17"/>
              </w:rPr>
              <w:t>In-app, email una sola vez</w:t>
            </w:r>
          </w:p>
        </w:tc>
        <w:tc>
          <w:tcPr>
            <w:tcW w:type="dxa" w:w="3548"/>
          </w:tcPr>
          <w:p>
            <w:pPr>
              <w:spacing w:after="0"/>
            </w:pPr>
            <w:r/>
          </w:p>
        </w:tc>
      </w:tr>
      <w:tr>
        <w:tc>
          <w:tcPr>
            <w:tcW w:type="dxa" w:w="2542"/>
          </w:tcPr>
          <w:p>
            <w:pPr>
              <w:spacing w:after="0"/>
            </w:pPr>
            <w:r/>
            <w:r>
              <w:rPr>
                <w:sz w:val="17"/>
              </w:rPr>
              <w:t>Transaccional</w:t>
            </w:r>
          </w:p>
        </w:tc>
        <w:tc>
          <w:tcPr>
            <w:tcW w:type="dxa" w:w="3548"/>
          </w:tcPr>
          <w:p>
            <w:pPr>
              <w:spacing w:after="0"/>
            </w:pPr>
            <w:r/>
            <w:r>
              <w:rPr>
                <w:sz w:val="17"/>
              </w:rPr>
              <w:t>El canal del proceso; email con plantilla transaccional</w:t>
            </w:r>
          </w:p>
        </w:tc>
        <w:tc>
          <w:tcPr>
            <w:tcW w:type="dxa" w:w="3548"/>
          </w:tcPr>
          <w:p>
            <w:pPr>
              <w:spacing w:after="0"/>
            </w:pPr>
            <w:r/>
            <w:r>
              <w:rPr>
                <w:sz w:val="17"/>
              </w:rPr>
              <w:t>2.74 % de clic, no se toca</w:t>
            </w:r>
          </w:p>
        </w:tc>
      </w:tr>
    </w:tbl>
    <w:p>
      <w:pPr>
        <w:spacing w:after="40"/>
      </w:pPr>
    </w:p>
    <w:p>
      <w:pPr>
        <w:spacing w:after="120"/>
      </w:pPr>
      <w:r>
        <w:rPr>
          <w:b/>
        </w:rPr>
        <w:t>4. Cuántas veces (frecuencia).</w:t>
      </w:r>
      <w:r>
        <w:t xml:space="preserve"> Máximo 2 toques por mes por esta pieza, el segundo solo a quien no abrió el primero (paso de Decision en A3). La pieza entra al frequency cap global de 5 promocionales por semana, 2 familias al día y 1 push al día: si la audiencia ya está saturada, la pieza espera o reemplaza a otra.</w:t>
      </w:r>
    </w:p>
    <w:p>
      <w:pPr>
        <w:spacing w:after="120"/>
      </w:pPr>
      <w:r>
        <w:rPr>
          <w:b/>
        </w:rPr>
        <w:t>5. Cuándo.</w:t>
      </w:r>
      <w:r>
        <w:t xml:space="preserve"> Revisar el calendario único (D5). No se lanza en la misma semana que un evento comercial de otro equipo a la misma audiencia. No se lanza a toda la base en junio, mayo ni agosto (meses de más solape). Mientras no llegue E10, el día de la semana lo decide la prueba del paso 7.</w:t>
      </w:r>
    </w:p>
    <w:p>
      <w:pPr>
        <w:spacing w:after="120"/>
      </w:pPr>
      <w:r>
        <w:rPr>
          <w:b/>
        </w:rPr>
        <w:t>6. Cómo se llama.</w:t>
      </w:r>
      <w:r>
        <w:t xml:space="preserve"> Nombre con las 8 posiciones de A2 y listas cerradas. Pasos de Canvas con A3. Tags de A5. Grupo de suscripción de A6 en cada paso de email. UTMs de A10. Ticket abierto antes de crear la pieza y </w:t>
      </w:r>
      <w:r>
        <w:rPr>
          <w:rFonts w:ascii="Consolas" w:hAnsi="Consolas" w:eastAsia="Consolas"/>
          <w:color w:val="1F4E79"/>
        </w:rPr>
        <w:t>communication_id</w:t>
      </w:r>
      <w:r>
        <w:t xml:space="preserve"> anotado en el ticket cuando exista.</w:t>
      </w:r>
    </w:p>
    <w:p>
      <w:pPr>
        <w:spacing w:after="120"/>
      </w:pPr>
      <w:r>
        <w:rPr>
          <w:b/>
        </w:rPr>
        <w:t>7. Cómo se prueba.</w:t>
      </w:r>
      <w:r>
        <w:t xml:space="preserve"> Grupo de control del 10 % (posición 8 = Control). Si la audiencia pasa de 1 M, prueba previa al 10 % durante 48 horas y lectura de bajas por mil y respuesta contra el mínimo del canal antes de abrir al resto. Entre 100 mil y 1 M, prueba al 5 %.</w:t>
      </w:r>
    </w:p>
    <w:p>
      <w:pPr>
        <w:spacing w:after="120"/>
      </w:pPr>
      <w:r>
        <w:rPr>
          <w:b/>
        </w:rPr>
        <w:t>8. Cómo se mide.</w:t>
      </w:r>
      <w:r>
        <w:t xml:space="preserve"> A las 4 semanas: respuesta contra el mínimo del canal (B8), bajas por mil, convierten quienes abren contra quienes no (mínimo la mitad de lo normal del canal y 1.5 veces), lift contra el grupo de control a 7 días. En el Sheets aparece sola en Campañas al mes siguiente, por familia y canal, con su acción.</w:t>
      </w:r>
    </w:p>
    <w:p>
      <w:pPr>
        <w:spacing w:after="120"/>
      </w:pPr>
      <w:r>
        <w:rPr>
          <w:b/>
        </w:rPr>
        <w:t>9. Cómo termina.</w:t>
      </w:r>
      <w:r>
        <w:t xml:space="preserve"> Fecha de revisión en el ticket. Si a las 4 semanas no cumple B8, se apaga o se rehace sin discutir. Si cumple, se revisa cada mes con el ciclo de D4. Una pieza sin envíos 90 días se archiva.</w:t>
      </w:r>
    </w:p>
    <w:p>
      <w:pPr>
        <w:pStyle w:val="Heading2"/>
      </w:pPr>
      <w:r>
        <w:t>D2. Cómo hacer más eficiente algo que ya existe</w:t>
      </w:r>
    </w:p>
    <w:p>
      <w:pPr>
        <w:spacing w:after="120"/>
      </w:pPr>
      <w:r>
        <w:t>Buscar la familia en la pestaña Campañas (una fila por familia y canal) y leer la columna acción. Cada acción tiene su receta:</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606"/>
            <w:shd w:val="clear" w:color="auto" w:fill="E8EEF4"/>
          </w:tcPr>
          <w:p>
            <w:pPr>
              <w:spacing w:after="0"/>
            </w:pPr>
            <w:r>
              <w:rPr>
                <w:b/>
              </w:rPr>
            </w:r>
            <w:r>
              <w:rPr>
                <w:b/>
                <w:sz w:val="17"/>
              </w:rPr>
              <w:t>Acción en el Sheets</w:t>
            </w:r>
          </w:p>
        </w:tc>
        <w:tc>
          <w:tcPr>
            <w:tcW w:type="dxa" w:w="4016"/>
            <w:shd w:val="clear" w:color="auto" w:fill="E8EEF4"/>
          </w:tcPr>
          <w:p>
            <w:pPr>
              <w:spacing w:after="0"/>
            </w:pPr>
            <w:r>
              <w:rPr>
                <w:b/>
              </w:rPr>
            </w:r>
            <w:r>
              <w:rPr>
                <w:b/>
                <w:sz w:val="17"/>
              </w:rPr>
              <w:t>Qué significa</w:t>
            </w:r>
          </w:p>
        </w:tc>
        <w:tc>
          <w:tcPr>
            <w:tcW w:type="dxa" w:w="4016"/>
            <w:shd w:val="clear" w:color="auto" w:fill="E8EEF4"/>
          </w:tcPr>
          <w:p>
            <w:pPr>
              <w:spacing w:after="0"/>
            </w:pPr>
            <w:r>
              <w:rPr>
                <w:b/>
              </w:rPr>
            </w:r>
            <w:r>
              <w:rPr>
                <w:b/>
                <w:sz w:val="17"/>
              </w:rPr>
              <w:t>Qué se hace en Braze</w:t>
            </w:r>
          </w:p>
        </w:tc>
      </w:tr>
      <w:tr>
        <w:tc>
          <w:tcPr>
            <w:tcW w:type="dxa" w:w="1606"/>
          </w:tcPr>
          <w:p>
            <w:pPr>
              <w:spacing w:after="0"/>
            </w:pPr>
            <w:r/>
            <w:r>
              <w:rPr>
                <w:sz w:val="17"/>
              </w:rPr>
              <w:t>Apagar</w:t>
            </w:r>
          </w:p>
        </w:tc>
        <w:tc>
          <w:tcPr>
            <w:tcW w:type="dxa" w:w="4016"/>
          </w:tcPr>
          <w:p>
            <w:pPr>
              <w:spacing w:after="0"/>
            </w:pPr>
            <w:r/>
            <w:r>
              <w:rPr>
                <w:sz w:val="17"/>
              </w:rPr>
              <w:t>Volumen alto, respuesta debajo del mínimo, y ni quien abre convierte</w:t>
            </w:r>
          </w:p>
        </w:tc>
        <w:tc>
          <w:tcPr>
            <w:tcW w:type="dxa" w:w="4016"/>
          </w:tcPr>
          <w:p>
            <w:pPr>
              <w:spacing w:after="0"/>
            </w:pPr>
            <w:r/>
            <w:r>
              <w:rPr>
                <w:sz w:val="17"/>
              </w:rPr>
              <w:t>Archivar la pieza en ese canal. Si el mensaje sirve en otro canal (push de B0211 convierte 18 veces entre quienes abren), dejar solo ese canal acotado a quien abrió en 60 días.</w:t>
            </w:r>
          </w:p>
        </w:tc>
      </w:tr>
      <w:tr>
        <w:tc>
          <w:tcPr>
            <w:tcW w:type="dxa" w:w="1606"/>
          </w:tcPr>
          <w:p>
            <w:pPr>
              <w:spacing w:after="0"/>
            </w:pPr>
            <w:r/>
            <w:r>
              <w:rPr>
                <w:sz w:val="17"/>
              </w:rPr>
              <w:t>Confirmar apagado</w:t>
            </w:r>
          </w:p>
        </w:tc>
        <w:tc>
          <w:tcPr>
            <w:tcW w:type="dxa" w:w="4016"/>
          </w:tcPr>
          <w:p>
            <w:pPr>
              <w:spacing w:after="0"/>
            </w:pPr>
            <w:r/>
            <w:r>
              <w:rPr>
                <w:sz w:val="17"/>
              </w:rPr>
              <w:t>Debajo del mínimo pero ya sin envíos recientes</w:t>
            </w:r>
          </w:p>
        </w:tc>
        <w:tc>
          <w:tcPr>
            <w:tcW w:type="dxa" w:w="4016"/>
          </w:tcPr>
          <w:p>
            <w:pPr>
              <w:spacing w:after="0"/>
            </w:pPr>
            <w:r/>
            <w:r>
              <w:rPr>
                <w:sz w:val="17"/>
              </w:rPr>
              <w:t>Confirmar que está archivada, no pausada. Si quedó una versión viva, archivarla.</w:t>
            </w:r>
          </w:p>
        </w:tc>
      </w:tr>
      <w:tr>
        <w:tc>
          <w:tcPr>
            <w:tcW w:type="dxa" w:w="1606"/>
          </w:tcPr>
          <w:p>
            <w:pPr>
              <w:spacing w:after="0"/>
            </w:pPr>
            <w:r/>
            <w:r>
              <w:rPr>
                <w:sz w:val="17"/>
              </w:rPr>
              <w:t>Bajar frecuencia</w:t>
            </w:r>
          </w:p>
        </w:tc>
        <w:tc>
          <w:tcPr>
            <w:tcW w:type="dxa" w:w="4016"/>
          </w:tcPr>
          <w:p>
            <w:pPr>
              <w:spacing w:after="0"/>
            </w:pPr>
            <w:r/>
            <w:r>
              <w:rPr>
                <w:sz w:val="17"/>
              </w:rPr>
              <w:t>Responde pero se da de baja arriba de 2.5 por mil o manda 3 o más toques</w:t>
            </w:r>
          </w:p>
        </w:tc>
        <w:tc>
          <w:tcPr>
            <w:tcW w:type="dxa" w:w="4016"/>
          </w:tcPr>
          <w:p>
            <w:pPr>
              <w:spacing w:after="0"/>
            </w:pPr>
            <w:r/>
            <w:r>
              <w:rPr>
                <w:sz w:val="17"/>
              </w:rPr>
              <w:t>Tope de 2 toques al mes con Decision "no abrió"; quitar pasos 3 en adelante; filtro de suscripción en cada paso.</w:t>
            </w:r>
          </w:p>
        </w:tc>
      </w:tr>
      <w:tr>
        <w:tc>
          <w:tcPr>
            <w:tcW w:type="dxa" w:w="1606"/>
          </w:tcPr>
          <w:p>
            <w:pPr>
              <w:spacing w:after="0"/>
            </w:pPr>
            <w:r/>
            <w:r>
              <w:rPr>
                <w:sz w:val="17"/>
              </w:rPr>
              <w:t>Rehacer o re-segmentar</w:t>
            </w:r>
          </w:p>
        </w:tc>
        <w:tc>
          <w:tcPr>
            <w:tcW w:type="dxa" w:w="4016"/>
          </w:tcPr>
          <w:p>
            <w:pPr>
              <w:spacing w:after="0"/>
            </w:pPr>
            <w:r/>
            <w:r>
              <w:rPr>
                <w:sz w:val="17"/>
              </w:rPr>
              <w:t>Responde debajo del mínimo pero quien abre sí convierte, o audiencia de más de 1 M sin criterio</w:t>
            </w:r>
          </w:p>
        </w:tc>
        <w:tc>
          <w:tcPr>
            <w:tcW w:type="dxa" w:w="4016"/>
          </w:tcPr>
          <w:p>
            <w:pPr>
              <w:spacing w:after="0"/>
            </w:pPr>
            <w:r/>
            <w:r>
              <w:rPr>
                <w:sz w:val="17"/>
              </w:rPr>
              <w:t>Cambiar el segmento al maestro de A4 más un filtro de señal (abrió algo en 90 días); cambiar el gancho si es tasa 0 o novedades por email; volver a lanzar como versión nueva con control.</w:t>
            </w:r>
          </w:p>
        </w:tc>
      </w:tr>
      <w:tr>
        <w:tc>
          <w:tcPr>
            <w:tcW w:type="dxa" w:w="1606"/>
          </w:tcPr>
          <w:p>
            <w:pPr>
              <w:spacing w:after="0"/>
            </w:pPr>
            <w:r/>
            <w:r>
              <w:rPr>
                <w:sz w:val="17"/>
              </w:rPr>
              <w:t>Limpiar base de WhatsApp</w:t>
            </w:r>
          </w:p>
        </w:tc>
        <w:tc>
          <w:tcPr>
            <w:tcW w:type="dxa" w:w="4016"/>
          </w:tcPr>
          <w:p>
            <w:pPr>
              <w:spacing w:after="0"/>
            </w:pPr>
            <w:r/>
            <w:r>
              <w:rPr>
                <w:sz w:val="17"/>
              </w:rPr>
              <w:t>Entrega debajo de 80 %</w:t>
            </w:r>
          </w:p>
        </w:tc>
        <w:tc>
          <w:tcPr>
            <w:tcW w:type="dxa" w:w="4016"/>
          </w:tcPr>
          <w:p>
            <w:pPr>
              <w:spacing w:after="0"/>
            </w:pPr>
            <w:r/>
            <w:r>
              <w:rPr>
                <w:sz w:val="17"/>
              </w:rPr>
              <w:t xml:space="preserve">Aplicar </w:t>
            </w:r>
            <w:r>
              <w:rPr>
                <w:rFonts w:ascii="Consolas" w:hAnsi="Consolas" w:eastAsia="Consolas"/>
                <w:color w:val="1F4E79"/>
                <w:sz w:val="17"/>
              </w:rPr>
              <w:t>EXC-WA-SinEntrega3</w:t>
            </w:r>
            <w:r>
              <w:rPr>
                <w:sz w:val="17"/>
              </w:rPr>
              <w:t>; pausar hasta que la entrega de prueba al 5 % pase de 80 %.</w:t>
            </w:r>
          </w:p>
        </w:tc>
      </w:tr>
      <w:tr>
        <w:tc>
          <w:tcPr>
            <w:tcW w:type="dxa" w:w="1606"/>
          </w:tcPr>
          <w:p>
            <w:pPr>
              <w:spacing w:after="0"/>
            </w:pPr>
            <w:r/>
            <w:r>
              <w:rPr>
                <w:sz w:val="17"/>
              </w:rPr>
              <w:t>Escalar</w:t>
            </w:r>
          </w:p>
        </w:tc>
        <w:tc>
          <w:tcPr>
            <w:tcW w:type="dxa" w:w="4016"/>
          </w:tcPr>
          <w:p>
            <w:pPr>
              <w:spacing w:after="0"/>
            </w:pPr>
            <w:r/>
            <w:r>
              <w:rPr>
                <w:sz w:val="17"/>
              </w:rPr>
              <w:t>Responde arriba del mínimo con audiencia chica</w:t>
            </w:r>
          </w:p>
        </w:tc>
        <w:tc>
          <w:tcPr>
            <w:tcW w:type="dxa" w:w="4016"/>
          </w:tcPr>
          <w:p>
            <w:pPr>
              <w:spacing w:after="0"/>
            </w:pPr>
            <w:r/>
            <w:r>
              <w:rPr>
                <w:sz w:val="17"/>
              </w:rPr>
              <w:t>Ampliar la audiencia al siguiente segmento maestro de la misma familia (de Activos a Recurrentes), con control del 10 %; no cambiar el mensaje.</w:t>
            </w:r>
          </w:p>
        </w:tc>
      </w:tr>
      <w:tr>
        <w:tc>
          <w:tcPr>
            <w:tcW w:type="dxa" w:w="1606"/>
          </w:tcPr>
          <w:p>
            <w:pPr>
              <w:spacing w:after="0"/>
            </w:pPr>
            <w:r/>
            <w:r>
              <w:rPr>
                <w:sz w:val="17"/>
              </w:rPr>
              <w:t>Proteger</w:t>
            </w:r>
          </w:p>
        </w:tc>
        <w:tc>
          <w:tcPr>
            <w:tcW w:type="dxa" w:w="4016"/>
          </w:tcPr>
          <w:p>
            <w:pPr>
              <w:spacing w:after="0"/>
            </w:pPr>
            <w:r/>
            <w:r>
              <w:rPr>
                <w:sz w:val="17"/>
              </w:rPr>
              <w:t>Alto volumen y buena respuesta</w:t>
            </w:r>
          </w:p>
        </w:tc>
        <w:tc>
          <w:tcPr>
            <w:tcW w:type="dxa" w:w="4016"/>
          </w:tcPr>
          <w:p>
            <w:pPr>
              <w:spacing w:after="0"/>
            </w:pPr>
            <w:r/>
            <w:r>
              <w:rPr>
                <w:sz w:val="17"/>
              </w:rPr>
              <w:t>No tocar el mensaje; vigilar bajas y toques; es la referencia para rehacer las demás de su audiencia.</w:t>
            </w:r>
          </w:p>
        </w:tc>
      </w:tr>
      <w:tr>
        <w:tc>
          <w:tcPr>
            <w:tcW w:type="dxa" w:w="1606"/>
          </w:tcPr>
          <w:p>
            <w:pPr>
              <w:spacing w:after="0"/>
            </w:pPr>
            <w:r/>
            <w:r>
              <w:rPr>
                <w:sz w:val="17"/>
              </w:rPr>
              <w:t>Seguir igual</w:t>
            </w:r>
          </w:p>
        </w:tc>
        <w:tc>
          <w:tcPr>
            <w:tcW w:type="dxa" w:w="4016"/>
          </w:tcPr>
          <w:p>
            <w:pPr>
              <w:spacing w:after="0"/>
            </w:pPr>
            <w:r/>
            <w:r>
              <w:rPr>
                <w:sz w:val="17"/>
              </w:rPr>
              <w:t>Cumple, sin señal clara</w:t>
            </w:r>
          </w:p>
        </w:tc>
        <w:tc>
          <w:tcPr>
            <w:tcW w:type="dxa" w:w="4016"/>
          </w:tcPr>
          <w:p>
            <w:pPr>
              <w:spacing w:after="0"/>
            </w:pPr>
            <w:r/>
            <w:r>
              <w:rPr>
                <w:sz w:val="17"/>
              </w:rPr>
              <w:t>Nada; revisión mensual.</w:t>
            </w:r>
          </w:p>
        </w:tc>
      </w:tr>
      <w:tr>
        <w:tc>
          <w:tcPr>
            <w:tcW w:type="dxa" w:w="1606"/>
          </w:tcPr>
          <w:p>
            <w:pPr>
              <w:spacing w:after="0"/>
            </w:pPr>
            <w:r/>
            <w:r>
              <w:rPr>
                <w:sz w:val="17"/>
              </w:rPr>
              <w:t>No tocar</w:t>
            </w:r>
          </w:p>
        </w:tc>
        <w:tc>
          <w:tcPr>
            <w:tcW w:type="dxa" w:w="4016"/>
          </w:tcPr>
          <w:p>
            <w:pPr>
              <w:spacing w:after="0"/>
            </w:pPr>
            <w:r/>
            <w:r>
              <w:rPr>
                <w:sz w:val="17"/>
              </w:rPr>
              <w:t>Transaccional o cobranza</w:t>
            </w:r>
          </w:p>
        </w:tc>
        <w:tc>
          <w:tcPr>
            <w:tcW w:type="dxa" w:w="4016"/>
          </w:tcPr>
          <w:p>
            <w:pPr>
              <w:spacing w:after="0"/>
            </w:pPr>
            <w:r/>
            <w:r>
              <w:rPr>
                <w:sz w:val="17"/>
              </w:rPr>
              <w:t>Solo nomenclatura, ticket y una versión activa.</w:t>
            </w:r>
          </w:p>
        </w:tc>
      </w:tr>
    </w:tbl>
    <w:p>
      <w:pPr>
        <w:spacing w:after="40"/>
      </w:pPr>
    </w:p>
    <w:p>
      <w:pPr>
        <w:spacing w:after="120"/>
      </w:pPr>
      <w:r>
        <w:t>Las cifras de ahorro por acción están en Plan_accion (P1 por acción, P2 las diez familias que más pesan, P3 por equipo) y el total por equipo en Vista_equipo. El ahorro estimado del plan es por mes y con los parámetros de Parámetros; cambia si cambia el costo de WhatsApp o la definición de respuesta.</w:t>
      </w:r>
    </w:p>
    <w:p>
      <w:pPr>
        <w:pStyle w:val="Heading2"/>
      </w:pPr>
      <w:r>
        <w:t>D3. Checklist antes de activar (lo firma el dueño del segmento y MarTech)</w:t>
      </w:r>
    </w:p>
    <w:p>
      <w:pPr>
        <w:pStyle w:val="ListNumber"/>
      </w:pPr>
      <w:r>
        <w:t xml:space="preserve">Tipo declarado (promocional, lifecycle, transaccional, cobranza) y tag </w:t>
      </w:r>
      <w:r>
        <w:rPr>
          <w:rFonts w:ascii="Consolas" w:hAnsi="Consolas" w:eastAsia="Consolas"/>
          <w:color w:val="1F4E79"/>
        </w:rPr>
        <w:t>tipo:</w:t>
      </w:r>
      <w:r>
        <w:t xml:space="preserve"> puesto.</w:t>
      </w:r>
    </w:p>
    <w:p>
      <w:pPr>
        <w:pStyle w:val="ListNumber"/>
      </w:pPr>
      <w:r>
        <w:t>Ticket abierto con prefijo correcto; nombre con las 8 posiciones y listas cerradas; sin "Copy of", "TEST", "N/A" ni "Not Tracked".</w:t>
      </w:r>
    </w:p>
    <w:p>
      <w:pPr>
        <w:pStyle w:val="ListNumber"/>
      </w:pPr>
      <w:r>
        <w:t xml:space="preserve">Audiencia = segmento maestro de A4 (más filtro dentro del Canvas si aplica). Si es </w:t>
      </w:r>
      <w:r>
        <w:rPr>
          <w:rFonts w:ascii="Consolas" w:hAnsi="Consolas" w:eastAsia="Consolas"/>
          <w:color w:val="1F4E79"/>
        </w:rPr>
        <w:t>Todos</w:t>
      </w:r>
      <w:r>
        <w:t xml:space="preserve"> o más de 1 M, aprobación de CRM y prueba al 10 %.</w:t>
      </w:r>
    </w:p>
    <w:p>
      <w:pPr>
        <w:pStyle w:val="ListNumber"/>
      </w:pPr>
      <w:r>
        <w:t xml:space="preserve">Los 7 segmentos </w:t>
      </w:r>
      <w:r>
        <w:rPr>
          <w:rFonts w:ascii="Consolas" w:hAnsi="Consolas" w:eastAsia="Consolas"/>
          <w:color w:val="1F4E79"/>
        </w:rPr>
        <w:t>EXC-</w:t>
      </w:r>
      <w:r>
        <w:t xml:space="preserve"> como filtro negativo (promocional y lifecycle). Blacklist en todo.</w:t>
      </w:r>
    </w:p>
    <w:p>
      <w:pPr>
        <w:pStyle w:val="ListNumber"/>
      </w:pPr>
      <w:r>
        <w:t>Filtro de suscripción del grupo correcto en cada paso de email, no solo a la entrada.</w:t>
      </w:r>
    </w:p>
    <w:p>
      <w:pPr>
        <w:pStyle w:val="ListNumber"/>
      </w:pPr>
      <w:r>
        <w:t xml:space="preserve">Canal según C7c y </w:t>
      </w:r>
      <w:r>
        <w:rPr>
          <w:rFonts w:ascii="Consolas" w:hAnsi="Consolas" w:eastAsia="Consolas"/>
          <w:color w:val="1F4E79"/>
        </w:rPr>
        <w:t>brz_canal_preferido_90d</w:t>
      </w:r>
      <w:r>
        <w:t xml:space="preserve">. Si hay WhatsApp, va detrás de una señal o a activos, y con </w:t>
      </w:r>
      <w:r>
        <w:rPr>
          <w:rFonts w:ascii="Consolas" w:hAnsi="Consolas" w:eastAsia="Consolas"/>
          <w:color w:val="1F4E79"/>
        </w:rPr>
        <w:t>EXC-WA-SinEntrega3</w:t>
      </w:r>
      <w:r>
        <w:t>.</w:t>
      </w:r>
    </w:p>
    <w:p>
      <w:pPr>
        <w:pStyle w:val="ListNumber"/>
      </w:pPr>
      <w:r>
        <w:t>Máximo 2 toques al mes por usuario, el segundo con Decision "no abrió". Paso de Salida con motivo.</w:t>
      </w:r>
    </w:p>
    <w:p>
      <w:pPr>
        <w:pStyle w:val="ListNumber"/>
      </w:pPr>
      <w:r>
        <w:t>Frequency cap global respetado (5 promocionales por semana, 2 familias al día, 1 push al día, 24 h entre promocionales).</w:t>
      </w:r>
    </w:p>
    <w:p>
      <w:pPr>
        <w:pStyle w:val="ListNumber"/>
      </w:pPr>
      <w:r>
        <w:t>Grupo de control del 10 % y evento de conversión de A9 configurado con ventana de 7 días.</w:t>
      </w:r>
    </w:p>
    <w:p>
      <w:pPr>
        <w:pStyle w:val="ListNumber"/>
      </w:pPr>
      <w:r>
        <w:t xml:space="preserve">Plantilla </w:t>
      </w:r>
      <w:r>
        <w:rPr>
          <w:rFonts w:ascii="Consolas" w:hAnsi="Consolas" w:eastAsia="Consolas"/>
          <w:color w:val="1F4E79"/>
        </w:rPr>
        <w:t>TPL-</w:t>
      </w:r>
      <w:r>
        <w:t xml:space="preserve"> vigente, UTMs con ticket, un solo llamado a la acción.</w:t>
      </w:r>
    </w:p>
    <w:p>
      <w:pPr>
        <w:pStyle w:val="ListNumber"/>
      </w:pPr>
      <w:r>
        <w:t>Calendario único revisado: ninguna otra pieza a la misma audiencia con el mismo gancho esa semana; no coincide con un evento comercial de otro equipo.</w:t>
      </w:r>
    </w:p>
    <w:p>
      <w:pPr>
        <w:pStyle w:val="ListNumber"/>
      </w:pPr>
      <w:r>
        <w:t>Fecha de revisión a 4 semanas anotada en el ticket y la versión anterior de la misma familia archivada.</w:t>
      </w:r>
    </w:p>
    <w:p>
      <w:pPr>
        <w:pStyle w:val="Heading2"/>
      </w:pPr>
      <w:r>
        <w:t>D4. Ciclo mensual</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780"/>
            <w:shd w:val="clear" w:color="auto" w:fill="E8EEF4"/>
          </w:tcPr>
          <w:p>
            <w:pPr>
              <w:spacing w:after="0"/>
            </w:pPr>
            <w:r>
              <w:rPr>
                <w:b/>
              </w:rPr>
            </w:r>
            <w:r>
              <w:rPr>
                <w:b/>
                <w:sz w:val="17"/>
              </w:rPr>
              <w:t>Semana</w:t>
            </w:r>
          </w:p>
        </w:tc>
        <w:tc>
          <w:tcPr>
            <w:tcW w:type="dxa" w:w="3716"/>
            <w:shd w:val="clear" w:color="auto" w:fill="E8EEF4"/>
          </w:tcPr>
          <w:p>
            <w:pPr>
              <w:spacing w:after="0"/>
            </w:pPr>
            <w:r>
              <w:rPr>
                <w:b/>
              </w:rPr>
            </w:r>
            <w:r>
              <w:rPr>
                <w:b/>
                <w:sz w:val="17"/>
              </w:rPr>
              <w:t>Qué</w:t>
            </w:r>
          </w:p>
        </w:tc>
        <w:tc>
          <w:tcPr>
            <w:tcW w:type="dxa" w:w="2044"/>
            <w:shd w:val="clear" w:color="auto" w:fill="E8EEF4"/>
          </w:tcPr>
          <w:p>
            <w:pPr>
              <w:spacing w:after="0"/>
            </w:pPr>
            <w:r>
              <w:rPr>
                <w:b/>
              </w:rPr>
            </w:r>
            <w:r>
              <w:rPr>
                <w:b/>
                <w:sz w:val="17"/>
              </w:rPr>
              <w:t>Quién</w:t>
            </w:r>
          </w:p>
        </w:tc>
        <w:tc>
          <w:tcPr>
            <w:tcW w:type="dxa" w:w="3097"/>
            <w:shd w:val="clear" w:color="auto" w:fill="E8EEF4"/>
          </w:tcPr>
          <w:p>
            <w:pPr>
              <w:spacing w:after="0"/>
            </w:pPr>
            <w:r>
              <w:rPr>
                <w:b/>
              </w:rPr>
            </w:r>
            <w:r>
              <w:rPr>
                <w:b/>
                <w:sz w:val="17"/>
              </w:rPr>
              <w:t>Con qué</w:t>
            </w:r>
          </w:p>
        </w:tc>
      </w:tr>
      <w:tr>
        <w:tc>
          <w:tcPr>
            <w:tcW w:type="dxa" w:w="780"/>
          </w:tcPr>
          <w:p>
            <w:pPr>
              <w:spacing w:after="0"/>
            </w:pPr>
            <w:r/>
            <w:r>
              <w:rPr>
                <w:sz w:val="17"/>
              </w:rPr>
              <w:t>1</w:t>
            </w:r>
          </w:p>
        </w:tc>
        <w:tc>
          <w:tcPr>
            <w:tcW w:type="dxa" w:w="3716"/>
          </w:tcPr>
          <w:p>
            <w:pPr>
              <w:spacing w:after="0"/>
            </w:pPr>
            <w:r/>
            <w:r>
              <w:rPr>
                <w:sz w:val="17"/>
              </w:rPr>
              <w:t>Actualizar las extracciones E1 a E9 del mes y regenerar el Sheets como archivo nuevo</w:t>
            </w:r>
          </w:p>
        </w:tc>
        <w:tc>
          <w:tcPr>
            <w:tcW w:type="dxa" w:w="2044"/>
          </w:tcPr>
          <w:p>
            <w:pPr>
              <w:spacing w:after="0"/>
            </w:pPr>
            <w:r/>
            <w:r>
              <w:rPr>
                <w:sz w:val="17"/>
              </w:rPr>
              <w:t>Datos</w:t>
            </w:r>
          </w:p>
        </w:tc>
        <w:tc>
          <w:tcPr>
            <w:tcW w:type="dxa" w:w="3097"/>
          </w:tcPr>
          <w:p>
            <w:pPr>
              <w:spacing w:after="0"/>
            </w:pPr>
            <w:r/>
            <w:r>
              <w:rPr>
                <w:rFonts w:ascii="Consolas" w:hAnsi="Consolas" w:eastAsia="Consolas"/>
                <w:color w:val="1F4E79"/>
                <w:sz w:val="17"/>
              </w:rPr>
              <w:t>sql/extraccion.sql</w:t>
            </w:r>
            <w:r>
              <w:rPr>
                <w:sz w:val="17"/>
              </w:rPr>
              <w:t xml:space="preserve">, </w:t>
            </w:r>
            <w:r>
              <w:rPr>
                <w:rFonts w:ascii="Consolas" w:hAnsi="Consolas" w:eastAsia="Consolas"/>
                <w:color w:val="1F4E79"/>
                <w:sz w:val="17"/>
              </w:rPr>
              <w:t>scripts/build_sheets_v2.py</w:t>
            </w:r>
          </w:p>
        </w:tc>
      </w:tr>
      <w:tr>
        <w:tc>
          <w:tcPr>
            <w:tcW w:type="dxa" w:w="780"/>
          </w:tcPr>
          <w:p>
            <w:pPr>
              <w:spacing w:after="0"/>
            </w:pPr>
            <w:r/>
            <w:r>
              <w:rPr>
                <w:sz w:val="17"/>
              </w:rPr>
              <w:t>1</w:t>
            </w:r>
          </w:p>
        </w:tc>
        <w:tc>
          <w:tcPr>
            <w:tcW w:type="dxa" w:w="3716"/>
          </w:tcPr>
          <w:p>
            <w:pPr>
              <w:spacing w:after="0"/>
            </w:pPr>
            <w:r/>
            <w:r>
              <w:rPr>
                <w:sz w:val="17"/>
              </w:rPr>
              <w:t>Leer Estándares: qué indicador se movió y qué equipo lo mueve</w:t>
            </w:r>
          </w:p>
        </w:tc>
        <w:tc>
          <w:tcPr>
            <w:tcW w:type="dxa" w:w="2044"/>
          </w:tcPr>
          <w:p>
            <w:pPr>
              <w:spacing w:after="0"/>
            </w:pPr>
            <w:r/>
            <w:r>
              <w:rPr>
                <w:sz w:val="17"/>
              </w:rPr>
              <w:t>CRM</w:t>
            </w:r>
          </w:p>
        </w:tc>
        <w:tc>
          <w:tcPr>
            <w:tcW w:type="dxa" w:w="3097"/>
          </w:tcPr>
          <w:p>
            <w:pPr>
              <w:spacing w:after="0"/>
            </w:pPr>
            <w:r/>
            <w:r>
              <w:rPr>
                <w:sz w:val="17"/>
              </w:rPr>
              <w:t>Estándares (24 filas, valor por equipo)</w:t>
            </w:r>
          </w:p>
        </w:tc>
      </w:tr>
      <w:tr>
        <w:tc>
          <w:tcPr>
            <w:tcW w:type="dxa" w:w="780"/>
          </w:tcPr>
          <w:p>
            <w:pPr>
              <w:spacing w:after="0"/>
            </w:pPr>
            <w:r/>
            <w:r>
              <w:rPr>
                <w:sz w:val="17"/>
              </w:rPr>
              <w:t>2</w:t>
            </w:r>
          </w:p>
        </w:tc>
        <w:tc>
          <w:tcPr>
            <w:tcW w:type="dxa" w:w="3716"/>
          </w:tcPr>
          <w:p>
            <w:pPr>
              <w:spacing w:after="0"/>
            </w:pPr>
            <w:r/>
            <w:r>
              <w:rPr>
                <w:sz w:val="17"/>
              </w:rPr>
              <w:t>Revisar Plan_accion: las familias en Apagar, Confirmar apagado y Limpiar WhatsApp se ejecutan; Rehacer y Bajar frecuencia se asignan con ticket</w:t>
            </w:r>
          </w:p>
        </w:tc>
        <w:tc>
          <w:tcPr>
            <w:tcW w:type="dxa" w:w="2044"/>
          </w:tcPr>
          <w:p>
            <w:pPr>
              <w:spacing w:after="0"/>
            </w:pPr>
            <w:r/>
            <w:r>
              <w:rPr>
                <w:sz w:val="17"/>
              </w:rPr>
              <w:t>Cada equipo con MarTech</w:t>
            </w:r>
          </w:p>
        </w:tc>
        <w:tc>
          <w:tcPr>
            <w:tcW w:type="dxa" w:w="3097"/>
          </w:tcPr>
          <w:p>
            <w:pPr>
              <w:spacing w:after="0"/>
            </w:pPr>
            <w:r/>
            <w:r>
              <w:rPr>
                <w:sz w:val="17"/>
              </w:rPr>
              <w:t>Plan_accion, Campañas</w:t>
            </w:r>
          </w:p>
        </w:tc>
      </w:tr>
      <w:tr>
        <w:tc>
          <w:tcPr>
            <w:tcW w:type="dxa" w:w="780"/>
          </w:tcPr>
          <w:p>
            <w:pPr>
              <w:spacing w:after="0"/>
            </w:pPr>
            <w:r/>
            <w:r>
              <w:rPr>
                <w:sz w:val="17"/>
              </w:rPr>
              <w:t>2</w:t>
            </w:r>
          </w:p>
        </w:tc>
        <w:tc>
          <w:tcPr>
            <w:tcW w:type="dxa" w:w="3716"/>
          </w:tcPr>
          <w:p>
            <w:pPr>
              <w:spacing w:after="0"/>
            </w:pPr>
            <w:r/>
            <w:r>
              <w:rPr>
                <w:sz w:val="17"/>
              </w:rPr>
              <w:t xml:space="preserve">Higiene: piezas sin envío 90 días, versiones duplicadas, </w:t>
            </w:r>
            <w:r>
              <w:rPr>
                <w:rFonts w:ascii="Consolas" w:hAnsi="Consolas" w:eastAsia="Consolas"/>
                <w:color w:val="1F4E79"/>
                <w:sz w:val="17"/>
              </w:rPr>
              <w:t>TEST</w:t>
            </w:r>
            <w:r>
              <w:rPr>
                <w:sz w:val="17"/>
              </w:rPr>
              <w:t xml:space="preserve"> y </w:t>
            </w:r>
            <w:r>
              <w:rPr>
                <w:rFonts w:ascii="Consolas" w:hAnsi="Consolas" w:eastAsia="Consolas"/>
                <w:color w:val="1F4E79"/>
                <w:sz w:val="17"/>
              </w:rPr>
              <w:t>Copy of</w:t>
            </w:r>
            <w:r>
              <w:rPr>
                <w:sz w:val="17"/>
              </w:rPr>
              <w:t xml:space="preserve"> activos, nombres fuera de convención</w:t>
            </w:r>
          </w:p>
        </w:tc>
        <w:tc>
          <w:tcPr>
            <w:tcW w:type="dxa" w:w="2044"/>
          </w:tcPr>
          <w:p>
            <w:pPr>
              <w:spacing w:after="0"/>
            </w:pPr>
            <w:r/>
            <w:r>
              <w:rPr>
                <w:sz w:val="17"/>
              </w:rPr>
              <w:t>MarTech</w:t>
            </w:r>
          </w:p>
        </w:tc>
        <w:tc>
          <w:tcPr>
            <w:tcW w:type="dxa" w:w="3097"/>
          </w:tcPr>
          <w:p>
            <w:pPr>
              <w:spacing w:after="0"/>
            </w:pPr>
            <w:r/>
            <w:r>
              <w:rPr>
                <w:sz w:val="17"/>
              </w:rPr>
              <w:t>Catálogo</w:t>
            </w:r>
          </w:p>
        </w:tc>
      </w:tr>
      <w:tr>
        <w:tc>
          <w:tcPr>
            <w:tcW w:type="dxa" w:w="780"/>
          </w:tcPr>
          <w:p>
            <w:pPr>
              <w:spacing w:after="0"/>
            </w:pPr>
            <w:r/>
            <w:r>
              <w:rPr>
                <w:sz w:val="17"/>
              </w:rPr>
              <w:t>3</w:t>
            </w:r>
          </w:p>
        </w:tc>
        <w:tc>
          <w:tcPr>
            <w:tcW w:type="dxa" w:w="3716"/>
          </w:tcPr>
          <w:p>
            <w:pPr>
              <w:spacing w:after="0"/>
            </w:pPr>
            <w:r/>
            <w:r>
              <w:rPr>
                <w:sz w:val="17"/>
              </w:rPr>
              <w:t>Calendario del mes siguiente: una pieza por equipo, canal y audiencia; eventos comerciales</w:t>
            </w:r>
          </w:p>
        </w:tc>
        <w:tc>
          <w:tcPr>
            <w:tcW w:type="dxa" w:w="2044"/>
          </w:tcPr>
          <w:p>
            <w:pPr>
              <w:spacing w:after="0"/>
            </w:pPr>
            <w:r/>
            <w:r>
              <w:rPr>
                <w:sz w:val="17"/>
              </w:rPr>
              <w:t>Marketing, Sales, Lending con CRM</w:t>
            </w:r>
          </w:p>
        </w:tc>
        <w:tc>
          <w:tcPr>
            <w:tcW w:type="dxa" w:w="3097"/>
          </w:tcPr>
          <w:p>
            <w:pPr>
              <w:spacing w:after="0"/>
            </w:pPr>
            <w:r/>
            <w:r>
              <w:rPr>
                <w:sz w:val="17"/>
              </w:rPr>
              <w:t>Calendario único (D5)</w:t>
            </w:r>
          </w:p>
        </w:tc>
      </w:tr>
      <w:tr>
        <w:tc>
          <w:tcPr>
            <w:tcW w:type="dxa" w:w="780"/>
          </w:tcPr>
          <w:p>
            <w:pPr>
              <w:spacing w:after="0"/>
            </w:pPr>
            <w:r/>
            <w:r>
              <w:rPr>
                <w:sz w:val="17"/>
              </w:rPr>
              <w:t>4</w:t>
            </w:r>
          </w:p>
        </w:tc>
        <w:tc>
          <w:tcPr>
            <w:tcW w:type="dxa" w:w="3716"/>
          </w:tcPr>
          <w:p>
            <w:pPr>
              <w:spacing w:after="0"/>
            </w:pPr>
            <w:r/>
            <w:r>
              <w:rPr>
                <w:sz w:val="17"/>
              </w:rPr>
              <w:t>Nuevas piezas pasan el checklist D3 y se activan con control</w:t>
            </w:r>
          </w:p>
        </w:tc>
        <w:tc>
          <w:tcPr>
            <w:tcW w:type="dxa" w:w="2044"/>
          </w:tcPr>
          <w:p>
            <w:pPr>
              <w:spacing w:after="0"/>
            </w:pPr>
            <w:r/>
            <w:r>
              <w:rPr>
                <w:sz w:val="17"/>
              </w:rPr>
              <w:t>Dueños y MarTech</w:t>
            </w:r>
          </w:p>
        </w:tc>
        <w:tc>
          <w:tcPr>
            <w:tcW w:type="dxa" w:w="3097"/>
          </w:tcPr>
          <w:p>
            <w:pPr>
              <w:spacing w:after="0"/>
            </w:pPr>
            <w:r/>
            <w:r>
              <w:rPr>
                <w:sz w:val="17"/>
              </w:rPr>
              <w:t>Este playbook</w:t>
            </w:r>
          </w:p>
        </w:tc>
      </w:tr>
      <w:tr>
        <w:tc>
          <w:tcPr>
            <w:tcW w:type="dxa" w:w="780"/>
          </w:tcPr>
          <w:p>
            <w:pPr>
              <w:spacing w:after="0"/>
            </w:pPr>
            <w:r/>
            <w:r>
              <w:rPr>
                <w:sz w:val="17"/>
              </w:rPr>
              <w:t>Trimestral</w:t>
            </w:r>
          </w:p>
        </w:tc>
        <w:tc>
          <w:tcPr>
            <w:tcW w:type="dxa" w:w="3716"/>
          </w:tcPr>
          <w:p>
            <w:pPr>
              <w:spacing w:after="0"/>
            </w:pPr>
            <w:r/>
            <w:r>
              <w:rPr>
                <w:sz w:val="17"/>
              </w:rPr>
              <w:t>Revisar segmentos maestros, lista de tags, grupos de suscripción, plantillas; archivar lo sin uso; actualizar este playbook con E10 a E12 y lo que haya cambiado</w:t>
            </w:r>
          </w:p>
        </w:tc>
        <w:tc>
          <w:tcPr>
            <w:tcW w:type="dxa" w:w="2044"/>
          </w:tcPr>
          <w:p>
            <w:pPr>
              <w:spacing w:after="0"/>
            </w:pPr>
            <w:r/>
            <w:r>
              <w:rPr>
                <w:sz w:val="17"/>
              </w:rPr>
              <w:t>MarTech y CRM</w:t>
            </w:r>
          </w:p>
        </w:tc>
        <w:tc>
          <w:tcPr>
            <w:tcW w:type="dxa" w:w="3097"/>
          </w:tcPr>
          <w:p>
            <w:pPr>
              <w:spacing w:after="0"/>
            </w:pPr>
            <w:r/>
          </w:p>
        </w:tc>
      </w:tr>
    </w:tbl>
    <w:p>
      <w:pPr>
        <w:spacing w:after="40"/>
      </w:pPr>
    </w:p>
    <w:p>
      <w:pPr>
        <w:pStyle w:val="Heading2"/>
      </w:pPr>
      <w:r>
        <w:t>D5. Gobierno</w:t>
      </w:r>
    </w:p>
    <w:p>
      <w:pPr>
        <w:pStyle w:val="ListBullet"/>
      </w:pPr>
      <w:r>
        <w:rPr>
          <w:b/>
        </w:rPr>
        <w:t>Dueños.</w:t>
      </w:r>
      <w:r>
        <w:t xml:space="preserve"> Un dueño por familia de segmentos (A4). Un dueño por pieza (el ticket lo dice). MarTech es dueño de nomenclatura, tags, grupos de suscripción, plantillas, exclusiones y frequency cap. CRM es dueño del calendario único y de los estándares.</w:t>
      </w:r>
    </w:p>
    <w:p>
      <w:pPr>
        <w:pStyle w:val="ListBullet"/>
      </w:pPr>
      <w:r>
        <w:rPr>
          <w:b/>
        </w:rPr>
        <w:t>Calendario único de envíos promocionales.</w:t>
      </w:r>
      <w:r>
        <w:t xml:space="preserve"> Una sola vista compartida (puede ser una pestaña más del Sheets) con fecha, equipo, pieza, audiencia, canal, gancho y tamaño. Nada promocional se activa sin estar ahí. Hoy el 62 % de las coincidencias de dos campañas el mismo día son entre equipos distintos.</w:t>
      </w:r>
    </w:p>
    <w:p>
      <w:pPr>
        <w:pStyle w:val="ListBullet"/>
      </w:pPr>
      <w:r>
        <w:rPr>
          <w:b/>
        </w:rPr>
        <w:t>Comité quincenal de 30 minutos</w:t>
      </w:r>
      <w:r>
        <w:t xml:space="preserve"> (Marketing, Lending, Sales, Collections, Producto, MarTech, CRM): conflictos de calendario, piezas nuevas a </w:t>
      </w:r>
      <w:r>
        <w:rPr>
          <w:rFonts w:ascii="Consolas" w:hAnsi="Consolas" w:eastAsia="Consolas"/>
          <w:color w:val="1F4E79"/>
        </w:rPr>
        <w:t>Todos</w:t>
      </w:r>
      <w:r>
        <w:t>, cambios a exclusiones y frequency cap, familias en Apagar que el equipo quiera defender (con grupo de control, no con opinión).</w:t>
      </w:r>
    </w:p>
    <w:p>
      <w:pPr>
        <w:pStyle w:val="ListBullet"/>
      </w:pPr>
      <w:r>
        <w:rPr>
          <w:b/>
        </w:rPr>
        <w:t>Legal y Riesgo</w:t>
      </w:r>
      <w:r>
        <w:t xml:space="preserve"> aprueban cambios a </w:t>
      </w:r>
      <w:r>
        <w:rPr>
          <w:rFonts w:ascii="Consolas" w:hAnsi="Consolas" w:eastAsia="Consolas"/>
          <w:color w:val="1F4E79"/>
        </w:rPr>
        <w:t>EXC-Global-REUS_ARCO</w:t>
      </w:r>
      <w:r>
        <w:t xml:space="preserve">, </w:t>
      </w:r>
      <w:r>
        <w:rPr>
          <w:rFonts w:ascii="Consolas" w:hAnsi="Consolas" w:eastAsia="Consolas"/>
          <w:color w:val="1F4E79"/>
        </w:rPr>
        <w:t>EXC-Global-Blacklist</w:t>
      </w:r>
      <w:r>
        <w:t xml:space="preserve"> y </w:t>
      </w:r>
      <w:r>
        <w:rPr>
          <w:rFonts w:ascii="Consolas" w:hAnsi="Consolas" w:eastAsia="Consolas"/>
          <w:color w:val="1F4E79"/>
        </w:rPr>
        <w:t>EXC-KPay-CCFreeze</w:t>
      </w:r>
      <w:r>
        <w:t>, y resuelven si cobranza excluye REUS y ARCO.</w:t>
      </w:r>
    </w:p>
    <w:p>
      <w:pPr>
        <w:pStyle w:val="ListBullet"/>
      </w:pPr>
      <w:r>
        <w:rPr>
          <w:b/>
        </w:rPr>
        <w:t>Estándares del mes</w:t>
      </w:r>
      <w:r>
        <w:t xml:space="preserve"> se publican en la pestaña Estándares con el valor por equipo. Un indicador en rojo dos meses seguidos abre un ticket al equipo que lo mueve.</w:t>
      </w:r>
    </w:p>
    <w:p>
      <w:pPr>
        <w:pStyle w:val="ListBullet"/>
      </w:pPr>
      <w:r>
        <w:rPr>
          <w:b/>
        </w:rPr>
        <w:t>Excepciones</w:t>
      </w:r>
      <w:r>
        <w:t xml:space="preserve"> a cualquier regla de la Parte B se piden en el ticket y se aprueban en el comité, con fecha de fin. Sin fecha de fin no hay excepción.</w:t>
      </w:r>
    </w:p>
    <w:p>
      <w:pPr>
        <w:pStyle w:val="Heading2"/>
      </w:pPr>
      <w:r>
        <w:t>D6. Glosario</w:t>
      </w:r>
    </w:p>
    <w:p>
      <w:pPr>
        <w:pStyle w:val="ListBullet"/>
      </w:pPr>
      <w:r>
        <w:rPr>
          <w:b/>
        </w:rPr>
        <w:t>Familia.</w:t>
      </w:r>
      <w:r>
        <w:t xml:space="preserve"> Comunicación sin la fecha del nombre; agrupa sus versiones.</w:t>
      </w:r>
    </w:p>
    <w:p>
      <w:pPr>
        <w:pStyle w:val="ListBullet"/>
      </w:pPr>
      <w:r>
        <w:rPr>
          <w:b/>
        </w:rPr>
        <w:t>Respuesta.</w:t>
      </w:r>
      <w:r>
        <w:t xml:space="preserve"> Clic en email, apertura en push, lectura en WhatsApp, clic en in-app. Abrir un email no es respuesta.</w:t>
      </w:r>
    </w:p>
    <w:p>
      <w:pPr>
        <w:pStyle w:val="ListBullet"/>
      </w:pPr>
      <w:r>
        <w:rPr>
          <w:b/>
        </w:rPr>
        <w:t>Toque.</w:t>
      </w:r>
      <w:r>
        <w:t xml:space="preserve"> Un mensaje de la misma comunicación al mismo usuario en el mes.</w:t>
      </w:r>
    </w:p>
    <w:p>
      <w:pPr>
        <w:pStyle w:val="ListBullet"/>
      </w:pPr>
      <w:r>
        <w:rPr>
          <w:b/>
        </w:rPr>
        <w:t>Canal mudo.</w:t>
      </w:r>
      <w:r>
        <w:t xml:space="preserve"> Canal al que el usuario nunca respondió aunque sí respondió a otro.</w:t>
      </w:r>
    </w:p>
    <w:p>
      <w:pPr>
        <w:pStyle w:val="ListBullet"/>
      </w:pPr>
      <w:r>
        <w:rPr>
          <w:b/>
        </w:rPr>
        <w:t>Nunca respondieron.</w:t>
      </w:r>
      <w:r>
        <w:t xml:space="preserve"> Usuarios que recibieron algo y no tienen ni una respuesta en ningún canal en el periodo (9 meses) o en 90 días.</w:t>
      </w:r>
    </w:p>
    <w:p>
      <w:pPr>
        <w:pStyle w:val="ListBullet"/>
      </w:pPr>
      <w:r>
        <w:rPr>
          <w:b/>
        </w:rPr>
        <w:t>Etapa bloqueada.</w:t>
      </w:r>
      <w:r>
        <w:t xml:space="preserve"> Blacklist, REUS o ARCO, tarjeta KPay congelada (golden dataset).</w:t>
      </w:r>
    </w:p>
    <w:p>
      <w:pPr>
        <w:pStyle w:val="ListBullet"/>
      </w:pPr>
      <w:r>
        <w:rPr>
          <w:b/>
        </w:rPr>
        <w:t>Mínimo del canal.</w:t>
      </w:r>
      <w:r>
        <w:t xml:space="preserve"> Respuesta debajo de la cual una pieza se apaga o se rehace: email 0.3 % de clic, push 0.75 %, WhatsApp 60 % de lectura, in-app 10 %.</w:t>
      </w:r>
    </w:p>
    <w:p>
      <w:pPr>
        <w:pStyle w:val="ListBullet"/>
      </w:pPr>
      <w:r>
        <w:rPr>
          <w:b/>
        </w:rPr>
        <w:t>Veces (abren contra no abren).</w:t>
      </w:r>
      <w:r>
        <w:t xml:space="preserve"> Conversión de quienes abrieron dividida entre la de quienes no, a 7 días. Menos de 1.5 = el mensaje no cambia el resultado.</w:t>
      </w:r>
    </w:p>
    <w:p>
      <w:pPr>
        <w:pStyle w:val="ListBullet"/>
      </w:pPr>
      <w:r>
        <w:rPr>
          <w:b/>
        </w:rPr>
        <w:t>Lift.</w:t>
      </w:r>
      <w:r>
        <w:t xml:space="preserve"> Conversión con mensaje contra grupo de control. Hoy no medible; con B7 lo será.</w:t>
      </w:r>
    </w:p>
    <w:p>
      <w:pPr>
        <w:pStyle w:val="ListBullet"/>
      </w:pPr>
      <w:r>
        <w:rPr>
          <w:b/>
        </w:rPr>
        <w:t>Segmento maestro.</w:t>
      </w:r>
      <w:r>
        <w:t xml:space="preserve"> Segmento </w:t>
      </w:r>
      <w:r>
        <w:rPr>
          <w:rFonts w:ascii="Consolas" w:hAnsi="Consolas" w:eastAsia="Consolas"/>
          <w:color w:val="1F4E79"/>
        </w:rPr>
        <w:t>SEG-</w:t>
      </w:r>
      <w:r>
        <w:t xml:space="preserve"> con dueño, reutilizado por todas las piezas de esa audiencia.</w:t>
      </w:r>
    </w:p>
    <w:p>
      <w:pPr>
        <w:pStyle w:val="ListBullet"/>
      </w:pPr>
      <w:r>
        <w:rPr>
          <w:b/>
        </w:rPr>
        <w:t>Exclusión global.</w:t>
      </w:r>
      <w:r>
        <w:t xml:space="preserve"> Segmento </w:t>
      </w:r>
      <w:r>
        <w:rPr>
          <w:rFonts w:ascii="Consolas" w:hAnsi="Consolas" w:eastAsia="Consolas"/>
          <w:color w:val="1F4E79"/>
        </w:rPr>
        <w:t>EXC-</w:t>
      </w:r>
      <w:r>
        <w:t xml:space="preserve"> aplicado como filtro negativo a todo lo promocional.</w:t>
      </w:r>
    </w:p>
    <w:p>
      <w:pPr>
        <w:pStyle w:val="Heading2"/>
      </w:pPr>
      <w:r>
        <w:t>Anexo 1. Mínimos, estándares y metas por canal</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790"/>
            <w:shd w:val="clear" w:color="auto" w:fill="E8EEF4"/>
          </w:tcPr>
          <w:p>
            <w:pPr>
              <w:spacing w:after="0"/>
            </w:pPr>
            <w:r>
              <w:rPr>
                <w:b/>
              </w:rPr>
            </w:r>
            <w:r>
              <w:rPr>
                <w:b/>
                <w:sz w:val="17"/>
              </w:rPr>
              <w:t>Canal</w:t>
            </w:r>
          </w:p>
        </w:tc>
        <w:tc>
          <w:tcPr>
            <w:tcW w:type="dxa" w:w="3262"/>
            <w:shd w:val="clear" w:color="auto" w:fill="E8EEF4"/>
          </w:tcPr>
          <w:p>
            <w:pPr>
              <w:spacing w:after="0"/>
            </w:pPr>
            <w:r>
              <w:rPr>
                <w:b/>
              </w:rPr>
            </w:r>
            <w:r>
              <w:rPr>
                <w:b/>
                <w:sz w:val="17"/>
              </w:rPr>
              <w:t>Indicador</w:t>
            </w:r>
          </w:p>
        </w:tc>
        <w:tc>
          <w:tcPr>
            <w:tcW w:type="dxa" w:w="1727"/>
            <w:shd w:val="clear" w:color="auto" w:fill="E8EEF4"/>
          </w:tcPr>
          <w:p>
            <w:pPr>
              <w:spacing w:after="0"/>
            </w:pPr>
            <w:r>
              <w:rPr>
                <w:b/>
              </w:rPr>
            </w:r>
            <w:r>
              <w:rPr>
                <w:b/>
                <w:sz w:val="17"/>
              </w:rPr>
              <w:t>Mínimo para seguir</w:t>
            </w:r>
          </w:p>
        </w:tc>
        <w:tc>
          <w:tcPr>
            <w:tcW w:type="dxa" w:w="790"/>
            <w:shd w:val="clear" w:color="auto" w:fill="E8EEF4"/>
          </w:tcPr>
          <w:p>
            <w:pPr>
              <w:spacing w:after="0"/>
            </w:pPr>
            <w:r>
              <w:rPr>
                <w:b/>
              </w:rPr>
            </w:r>
            <w:r>
              <w:rPr>
                <w:b/>
                <w:sz w:val="17"/>
              </w:rPr>
              <w:t>Estándar</w:t>
            </w:r>
          </w:p>
        </w:tc>
        <w:tc>
          <w:tcPr>
            <w:tcW w:type="dxa" w:w="1727"/>
            <w:shd w:val="clear" w:color="auto" w:fill="E8EEF4"/>
          </w:tcPr>
          <w:p>
            <w:pPr>
              <w:spacing w:after="0"/>
            </w:pPr>
            <w:r>
              <w:rPr>
                <w:b/>
              </w:rPr>
            </w:r>
            <w:r>
              <w:rPr>
                <w:b/>
                <w:sz w:val="17"/>
              </w:rPr>
              <w:t>Hoy</w:t>
            </w:r>
          </w:p>
        </w:tc>
        <w:tc>
          <w:tcPr>
            <w:tcW w:type="dxa" w:w="1343"/>
            <w:shd w:val="clear" w:color="auto" w:fill="E8EEF4"/>
          </w:tcPr>
          <w:p>
            <w:pPr>
              <w:spacing w:after="0"/>
            </w:pPr>
            <w:r>
              <w:rPr>
                <w:b/>
              </w:rPr>
            </w:r>
            <w:r>
              <w:rPr>
                <w:b/>
                <w:sz w:val="17"/>
              </w:rPr>
              <w:t>Meta a 6 meses</w:t>
            </w:r>
          </w:p>
        </w:tc>
      </w:tr>
      <w:tr>
        <w:tc>
          <w:tcPr>
            <w:tcW w:type="dxa" w:w="790"/>
          </w:tcPr>
          <w:p>
            <w:pPr>
              <w:spacing w:after="0"/>
            </w:pPr>
            <w:r/>
            <w:r>
              <w:rPr>
                <w:sz w:val="17"/>
              </w:rPr>
              <w:t>Email</w:t>
            </w:r>
          </w:p>
        </w:tc>
        <w:tc>
          <w:tcPr>
            <w:tcW w:type="dxa" w:w="3262"/>
          </w:tcPr>
          <w:p>
            <w:pPr>
              <w:spacing w:after="0"/>
            </w:pPr>
            <w:r/>
            <w:r>
              <w:rPr>
                <w:sz w:val="17"/>
              </w:rPr>
              <w:t>Entrega</w:t>
            </w:r>
          </w:p>
        </w:tc>
        <w:tc>
          <w:tcPr>
            <w:tcW w:type="dxa" w:w="1727"/>
          </w:tcPr>
          <w:p>
            <w:pPr>
              <w:spacing w:after="0"/>
            </w:pPr>
            <w:r/>
          </w:p>
        </w:tc>
        <w:tc>
          <w:tcPr>
            <w:tcW w:type="dxa" w:w="790"/>
          </w:tcPr>
          <w:p>
            <w:pPr>
              <w:spacing w:after="0"/>
            </w:pPr>
            <w:r/>
            <w:r>
              <w:rPr>
                <w:sz w:val="17"/>
              </w:rPr>
              <w:t>95 %</w:t>
            </w:r>
          </w:p>
        </w:tc>
        <w:tc>
          <w:tcPr>
            <w:tcW w:type="dxa" w:w="1727"/>
          </w:tcPr>
          <w:p>
            <w:pPr>
              <w:spacing w:after="0"/>
            </w:pPr>
            <w:r/>
            <w:r>
              <w:rPr>
                <w:sz w:val="17"/>
              </w:rPr>
              <w:t>95.1 %</w:t>
            </w:r>
          </w:p>
        </w:tc>
        <w:tc>
          <w:tcPr>
            <w:tcW w:type="dxa" w:w="1343"/>
          </w:tcPr>
          <w:p>
            <w:pPr>
              <w:spacing w:after="0"/>
            </w:pPr>
            <w:r/>
            <w:r>
              <w:rPr>
                <w:sz w:val="17"/>
              </w:rPr>
              <w:t>97 %</w:t>
            </w:r>
          </w:p>
        </w:tc>
      </w:tr>
      <w:tr>
        <w:tc>
          <w:tcPr>
            <w:tcW w:type="dxa" w:w="790"/>
          </w:tcPr>
          <w:p>
            <w:pPr>
              <w:spacing w:after="0"/>
            </w:pPr>
            <w:r/>
            <w:r>
              <w:rPr>
                <w:sz w:val="17"/>
              </w:rPr>
              <w:t>Email</w:t>
            </w:r>
          </w:p>
        </w:tc>
        <w:tc>
          <w:tcPr>
            <w:tcW w:type="dxa" w:w="3262"/>
          </w:tcPr>
          <w:p>
            <w:pPr>
              <w:spacing w:after="0"/>
            </w:pPr>
            <w:r/>
            <w:r>
              <w:rPr>
                <w:sz w:val="17"/>
              </w:rPr>
              <w:t>Clic sobre entregados</w:t>
            </w:r>
          </w:p>
        </w:tc>
        <w:tc>
          <w:tcPr>
            <w:tcW w:type="dxa" w:w="1727"/>
          </w:tcPr>
          <w:p>
            <w:pPr>
              <w:spacing w:after="0"/>
            </w:pPr>
            <w:r/>
            <w:r>
              <w:rPr>
                <w:sz w:val="17"/>
              </w:rPr>
              <w:t>0.3 %</w:t>
            </w:r>
          </w:p>
        </w:tc>
        <w:tc>
          <w:tcPr>
            <w:tcW w:type="dxa" w:w="790"/>
          </w:tcPr>
          <w:p>
            <w:pPr>
              <w:spacing w:after="0"/>
            </w:pPr>
            <w:r/>
            <w:r>
              <w:rPr>
                <w:sz w:val="17"/>
              </w:rPr>
              <w:t>1.5 %</w:t>
            </w:r>
          </w:p>
        </w:tc>
        <w:tc>
          <w:tcPr>
            <w:tcW w:type="dxa" w:w="1727"/>
          </w:tcPr>
          <w:p>
            <w:pPr>
              <w:spacing w:after="0"/>
            </w:pPr>
            <w:r/>
            <w:r>
              <w:rPr>
                <w:sz w:val="17"/>
              </w:rPr>
              <w:t>0.92 %</w:t>
            </w:r>
          </w:p>
        </w:tc>
        <w:tc>
          <w:tcPr>
            <w:tcW w:type="dxa" w:w="1343"/>
          </w:tcPr>
          <w:p>
            <w:pPr>
              <w:spacing w:after="0"/>
            </w:pPr>
            <w:r/>
            <w:r>
              <w:rPr>
                <w:sz w:val="17"/>
              </w:rPr>
              <w:t>1.5 %</w:t>
            </w:r>
          </w:p>
        </w:tc>
      </w:tr>
      <w:tr>
        <w:tc>
          <w:tcPr>
            <w:tcW w:type="dxa" w:w="790"/>
          </w:tcPr>
          <w:p>
            <w:pPr>
              <w:spacing w:after="0"/>
            </w:pPr>
            <w:r/>
            <w:r>
              <w:rPr>
                <w:sz w:val="17"/>
              </w:rPr>
              <w:t>Email</w:t>
            </w:r>
          </w:p>
        </w:tc>
        <w:tc>
          <w:tcPr>
            <w:tcW w:type="dxa" w:w="3262"/>
          </w:tcPr>
          <w:p>
            <w:pPr>
              <w:spacing w:after="0"/>
            </w:pPr>
            <w:r/>
            <w:r>
              <w:rPr>
                <w:sz w:val="17"/>
              </w:rPr>
              <w:t>Bajas por mil entregados</w:t>
            </w:r>
          </w:p>
        </w:tc>
        <w:tc>
          <w:tcPr>
            <w:tcW w:type="dxa" w:w="1727"/>
          </w:tcPr>
          <w:p>
            <w:pPr>
              <w:spacing w:after="0"/>
            </w:pPr>
            <w:r/>
          </w:p>
        </w:tc>
        <w:tc>
          <w:tcPr>
            <w:tcW w:type="dxa" w:w="790"/>
          </w:tcPr>
          <w:p>
            <w:pPr>
              <w:spacing w:after="0"/>
            </w:pPr>
            <w:r/>
            <w:r>
              <w:rPr>
                <w:sz w:val="17"/>
              </w:rPr>
              <w:t>2.5</w:t>
            </w:r>
          </w:p>
        </w:tc>
        <w:tc>
          <w:tcPr>
            <w:tcW w:type="dxa" w:w="1727"/>
          </w:tcPr>
          <w:p>
            <w:pPr>
              <w:spacing w:after="0"/>
            </w:pPr>
            <w:r/>
            <w:r>
              <w:rPr>
                <w:sz w:val="17"/>
              </w:rPr>
              <w:t>3.13</w:t>
            </w:r>
          </w:p>
        </w:tc>
        <w:tc>
          <w:tcPr>
            <w:tcW w:type="dxa" w:w="1343"/>
          </w:tcPr>
          <w:p>
            <w:pPr>
              <w:spacing w:after="0"/>
            </w:pPr>
            <w:r/>
            <w:r>
              <w:rPr>
                <w:sz w:val="17"/>
              </w:rPr>
              <w:t>2.0</w:t>
            </w:r>
          </w:p>
        </w:tc>
      </w:tr>
      <w:tr>
        <w:tc>
          <w:tcPr>
            <w:tcW w:type="dxa" w:w="790"/>
          </w:tcPr>
          <w:p>
            <w:pPr>
              <w:spacing w:after="0"/>
            </w:pPr>
            <w:r/>
            <w:r>
              <w:rPr>
                <w:sz w:val="17"/>
              </w:rPr>
              <w:t>Push</w:t>
            </w:r>
          </w:p>
        </w:tc>
        <w:tc>
          <w:tcPr>
            <w:tcW w:type="dxa" w:w="3262"/>
          </w:tcPr>
          <w:p>
            <w:pPr>
              <w:spacing w:after="0"/>
            </w:pPr>
            <w:r/>
            <w:r>
              <w:rPr>
                <w:sz w:val="17"/>
              </w:rPr>
              <w:t>Apertura directa</w:t>
            </w:r>
          </w:p>
        </w:tc>
        <w:tc>
          <w:tcPr>
            <w:tcW w:type="dxa" w:w="1727"/>
          </w:tcPr>
          <w:p>
            <w:pPr>
              <w:spacing w:after="0"/>
            </w:pPr>
            <w:r/>
            <w:r>
              <w:rPr>
                <w:sz w:val="17"/>
              </w:rPr>
              <w:t>0.75 %</w:t>
            </w:r>
          </w:p>
        </w:tc>
        <w:tc>
          <w:tcPr>
            <w:tcW w:type="dxa" w:w="790"/>
          </w:tcPr>
          <w:p>
            <w:pPr>
              <w:spacing w:after="0"/>
            </w:pPr>
            <w:r/>
            <w:r>
              <w:rPr>
                <w:sz w:val="17"/>
              </w:rPr>
              <w:t>3 %</w:t>
            </w:r>
          </w:p>
        </w:tc>
        <w:tc>
          <w:tcPr>
            <w:tcW w:type="dxa" w:w="1727"/>
          </w:tcPr>
          <w:p>
            <w:pPr>
              <w:spacing w:after="0"/>
            </w:pPr>
            <w:r/>
            <w:r>
              <w:rPr>
                <w:sz w:val="17"/>
              </w:rPr>
              <w:t>1.53 %</w:t>
            </w:r>
          </w:p>
        </w:tc>
        <w:tc>
          <w:tcPr>
            <w:tcW w:type="dxa" w:w="1343"/>
          </w:tcPr>
          <w:p>
            <w:pPr>
              <w:spacing w:after="0"/>
            </w:pPr>
            <w:r/>
            <w:r>
              <w:rPr>
                <w:sz w:val="17"/>
              </w:rPr>
              <w:t>2.5 %</w:t>
            </w:r>
          </w:p>
        </w:tc>
      </w:tr>
      <w:tr>
        <w:tc>
          <w:tcPr>
            <w:tcW w:type="dxa" w:w="790"/>
          </w:tcPr>
          <w:p>
            <w:pPr>
              <w:spacing w:after="0"/>
            </w:pPr>
            <w:r/>
            <w:r>
              <w:rPr>
                <w:sz w:val="17"/>
              </w:rPr>
              <w:t>WhatsApp</w:t>
            </w:r>
          </w:p>
        </w:tc>
        <w:tc>
          <w:tcPr>
            <w:tcW w:type="dxa" w:w="3262"/>
          </w:tcPr>
          <w:p>
            <w:pPr>
              <w:spacing w:after="0"/>
            </w:pPr>
            <w:r/>
            <w:r>
              <w:rPr>
                <w:sz w:val="17"/>
              </w:rPr>
              <w:t>Entrega</w:t>
            </w:r>
          </w:p>
        </w:tc>
        <w:tc>
          <w:tcPr>
            <w:tcW w:type="dxa" w:w="1727"/>
          </w:tcPr>
          <w:p>
            <w:pPr>
              <w:spacing w:after="0"/>
            </w:pPr>
            <w:r/>
            <w:r>
              <w:rPr>
                <w:sz w:val="17"/>
              </w:rPr>
              <w:t>80 %</w:t>
            </w:r>
          </w:p>
        </w:tc>
        <w:tc>
          <w:tcPr>
            <w:tcW w:type="dxa" w:w="790"/>
          </w:tcPr>
          <w:p>
            <w:pPr>
              <w:spacing w:after="0"/>
            </w:pPr>
            <w:r/>
            <w:r>
              <w:rPr>
                <w:sz w:val="17"/>
              </w:rPr>
              <w:t>90 %</w:t>
            </w:r>
          </w:p>
        </w:tc>
        <w:tc>
          <w:tcPr>
            <w:tcW w:type="dxa" w:w="1727"/>
          </w:tcPr>
          <w:p>
            <w:pPr>
              <w:spacing w:after="0"/>
            </w:pPr>
            <w:r/>
            <w:r>
              <w:rPr>
                <w:sz w:val="17"/>
              </w:rPr>
              <w:t>74.2 %</w:t>
            </w:r>
          </w:p>
        </w:tc>
        <w:tc>
          <w:tcPr>
            <w:tcW w:type="dxa" w:w="1343"/>
          </w:tcPr>
          <w:p>
            <w:pPr>
              <w:spacing w:after="0"/>
            </w:pPr>
            <w:r/>
            <w:r>
              <w:rPr>
                <w:sz w:val="17"/>
              </w:rPr>
              <w:t>90 %</w:t>
            </w:r>
          </w:p>
        </w:tc>
      </w:tr>
      <w:tr>
        <w:tc>
          <w:tcPr>
            <w:tcW w:type="dxa" w:w="790"/>
          </w:tcPr>
          <w:p>
            <w:pPr>
              <w:spacing w:after="0"/>
            </w:pPr>
            <w:r/>
            <w:r>
              <w:rPr>
                <w:sz w:val="17"/>
              </w:rPr>
              <w:t>WhatsApp</w:t>
            </w:r>
          </w:p>
        </w:tc>
        <w:tc>
          <w:tcPr>
            <w:tcW w:type="dxa" w:w="3262"/>
          </w:tcPr>
          <w:p>
            <w:pPr>
              <w:spacing w:after="0"/>
            </w:pPr>
            <w:r/>
            <w:r>
              <w:rPr>
                <w:sz w:val="17"/>
              </w:rPr>
              <w:t>Lectura sobre entregados</w:t>
            </w:r>
          </w:p>
        </w:tc>
        <w:tc>
          <w:tcPr>
            <w:tcW w:type="dxa" w:w="1727"/>
          </w:tcPr>
          <w:p>
            <w:pPr>
              <w:spacing w:after="0"/>
            </w:pPr>
            <w:r/>
            <w:r>
              <w:rPr>
                <w:sz w:val="17"/>
              </w:rPr>
              <w:t>60 %</w:t>
            </w:r>
          </w:p>
        </w:tc>
        <w:tc>
          <w:tcPr>
            <w:tcW w:type="dxa" w:w="790"/>
          </w:tcPr>
          <w:p>
            <w:pPr>
              <w:spacing w:after="0"/>
            </w:pPr>
            <w:r/>
            <w:r>
              <w:rPr>
                <w:sz w:val="17"/>
              </w:rPr>
              <w:t>70 %</w:t>
            </w:r>
          </w:p>
        </w:tc>
        <w:tc>
          <w:tcPr>
            <w:tcW w:type="dxa" w:w="1727"/>
          </w:tcPr>
          <w:p>
            <w:pPr>
              <w:spacing w:after="0"/>
            </w:pPr>
            <w:r/>
            <w:r>
              <w:rPr>
                <w:sz w:val="17"/>
              </w:rPr>
              <w:t>68.8 %</w:t>
            </w:r>
          </w:p>
        </w:tc>
        <w:tc>
          <w:tcPr>
            <w:tcW w:type="dxa" w:w="1343"/>
          </w:tcPr>
          <w:p>
            <w:pPr>
              <w:spacing w:after="0"/>
            </w:pPr>
            <w:r/>
            <w:r>
              <w:rPr>
                <w:sz w:val="17"/>
              </w:rPr>
              <w:t>75 %</w:t>
            </w:r>
          </w:p>
        </w:tc>
      </w:tr>
      <w:tr>
        <w:tc>
          <w:tcPr>
            <w:tcW w:type="dxa" w:w="790"/>
          </w:tcPr>
          <w:p>
            <w:pPr>
              <w:spacing w:after="0"/>
            </w:pPr>
            <w:r/>
            <w:r>
              <w:rPr>
                <w:sz w:val="17"/>
              </w:rPr>
              <w:t>In-app</w:t>
            </w:r>
          </w:p>
        </w:tc>
        <w:tc>
          <w:tcPr>
            <w:tcW w:type="dxa" w:w="3262"/>
          </w:tcPr>
          <w:p>
            <w:pPr>
              <w:spacing w:after="0"/>
            </w:pPr>
            <w:r/>
            <w:r>
              <w:rPr>
                <w:sz w:val="17"/>
              </w:rPr>
              <w:t>Clic sobre impresiones</w:t>
            </w:r>
          </w:p>
        </w:tc>
        <w:tc>
          <w:tcPr>
            <w:tcW w:type="dxa" w:w="1727"/>
          </w:tcPr>
          <w:p>
            <w:pPr>
              <w:spacing w:after="0"/>
            </w:pPr>
            <w:r/>
            <w:r>
              <w:rPr>
                <w:sz w:val="17"/>
              </w:rPr>
              <w:t>10 %</w:t>
            </w:r>
          </w:p>
        </w:tc>
        <w:tc>
          <w:tcPr>
            <w:tcW w:type="dxa" w:w="790"/>
          </w:tcPr>
          <w:p>
            <w:pPr>
              <w:spacing w:after="0"/>
            </w:pPr>
            <w:r/>
            <w:r>
              <w:rPr>
                <w:sz w:val="17"/>
              </w:rPr>
              <w:t>20 %</w:t>
            </w:r>
          </w:p>
        </w:tc>
        <w:tc>
          <w:tcPr>
            <w:tcW w:type="dxa" w:w="1727"/>
          </w:tcPr>
          <w:p>
            <w:pPr>
              <w:spacing w:after="0"/>
            </w:pPr>
            <w:r/>
            <w:r>
              <w:rPr>
                <w:sz w:val="17"/>
              </w:rPr>
              <w:t>38.2 %</w:t>
            </w:r>
          </w:p>
        </w:tc>
        <w:tc>
          <w:tcPr>
            <w:tcW w:type="dxa" w:w="1343"/>
          </w:tcPr>
          <w:p>
            <w:pPr>
              <w:spacing w:after="0"/>
            </w:pPr>
            <w:r/>
            <w:r>
              <w:rPr>
                <w:sz w:val="17"/>
              </w:rPr>
              <w:t>mantener</w:t>
            </w:r>
          </w:p>
        </w:tc>
      </w:tr>
      <w:tr>
        <w:tc>
          <w:tcPr>
            <w:tcW w:type="dxa" w:w="790"/>
          </w:tcPr>
          <w:p>
            <w:pPr>
              <w:spacing w:after="0"/>
            </w:pPr>
            <w:r/>
            <w:r>
              <w:rPr>
                <w:sz w:val="17"/>
              </w:rPr>
              <w:t>Todos</w:t>
            </w:r>
          </w:p>
        </w:tc>
        <w:tc>
          <w:tcPr>
            <w:tcW w:type="dxa" w:w="3262"/>
          </w:tcPr>
          <w:p>
            <w:pPr>
              <w:spacing w:after="0"/>
            </w:pPr>
            <w:r/>
            <w:r>
              <w:rPr>
                <w:sz w:val="17"/>
              </w:rPr>
              <w:t>Mensajes a canal mudo</w:t>
            </w:r>
          </w:p>
        </w:tc>
        <w:tc>
          <w:tcPr>
            <w:tcW w:type="dxa" w:w="1727"/>
          </w:tcPr>
          <w:p>
            <w:pPr>
              <w:spacing w:after="0"/>
            </w:pPr>
            <w:r/>
          </w:p>
        </w:tc>
        <w:tc>
          <w:tcPr>
            <w:tcW w:type="dxa" w:w="790"/>
          </w:tcPr>
          <w:p>
            <w:pPr>
              <w:spacing w:after="0"/>
            </w:pPr>
            <w:r/>
          </w:p>
        </w:tc>
        <w:tc>
          <w:tcPr>
            <w:tcW w:type="dxa" w:w="1727"/>
          </w:tcPr>
          <w:p>
            <w:pPr>
              <w:spacing w:after="0"/>
            </w:pPr>
            <w:r/>
            <w:r>
              <w:rPr>
                <w:sz w:val="17"/>
              </w:rPr>
              <w:t>58.9 %</w:t>
            </w:r>
          </w:p>
        </w:tc>
        <w:tc>
          <w:tcPr>
            <w:tcW w:type="dxa" w:w="1343"/>
          </w:tcPr>
          <w:p>
            <w:pPr>
              <w:spacing w:after="0"/>
            </w:pPr>
            <w:r/>
            <w:r>
              <w:rPr>
                <w:sz w:val="17"/>
              </w:rPr>
              <w:t>30 %</w:t>
            </w:r>
          </w:p>
        </w:tc>
      </w:tr>
      <w:tr>
        <w:tc>
          <w:tcPr>
            <w:tcW w:type="dxa" w:w="790"/>
          </w:tcPr>
          <w:p>
            <w:pPr>
              <w:spacing w:after="0"/>
            </w:pPr>
            <w:r/>
            <w:r>
              <w:rPr>
                <w:sz w:val="17"/>
              </w:rPr>
              <w:t>Todos</w:t>
            </w:r>
          </w:p>
        </w:tc>
        <w:tc>
          <w:tcPr>
            <w:tcW w:type="dxa" w:w="3262"/>
          </w:tcPr>
          <w:p>
            <w:pPr>
              <w:spacing w:after="0"/>
            </w:pPr>
            <w:r/>
            <w:r>
              <w:rPr>
                <w:sz w:val="17"/>
              </w:rPr>
              <w:t>Promocional a etapas bloqueadas</w:t>
            </w:r>
          </w:p>
        </w:tc>
        <w:tc>
          <w:tcPr>
            <w:tcW w:type="dxa" w:w="1727"/>
          </w:tcPr>
          <w:p>
            <w:pPr>
              <w:spacing w:after="0"/>
            </w:pPr>
            <w:r/>
          </w:p>
        </w:tc>
        <w:tc>
          <w:tcPr>
            <w:tcW w:type="dxa" w:w="790"/>
          </w:tcPr>
          <w:p>
            <w:pPr>
              <w:spacing w:after="0"/>
            </w:pPr>
            <w:r/>
            <w:r>
              <w:rPr>
                <w:sz w:val="17"/>
              </w:rPr>
              <w:t>0</w:t>
            </w:r>
          </w:p>
        </w:tc>
        <w:tc>
          <w:tcPr>
            <w:tcW w:type="dxa" w:w="1727"/>
          </w:tcPr>
          <w:p>
            <w:pPr>
              <w:spacing w:after="0"/>
            </w:pPr>
            <w:r/>
            <w:r>
              <w:rPr>
                <w:sz w:val="17"/>
              </w:rPr>
              <w:t>43.78 M en 9 meses</w:t>
            </w:r>
          </w:p>
        </w:tc>
        <w:tc>
          <w:tcPr>
            <w:tcW w:type="dxa" w:w="1343"/>
          </w:tcPr>
          <w:p>
            <w:pPr>
              <w:spacing w:after="0"/>
            </w:pPr>
            <w:r/>
            <w:r>
              <w:rPr>
                <w:sz w:val="17"/>
              </w:rPr>
              <w:t>0</w:t>
            </w:r>
          </w:p>
        </w:tc>
      </w:tr>
      <w:tr>
        <w:tc>
          <w:tcPr>
            <w:tcW w:type="dxa" w:w="790"/>
          </w:tcPr>
          <w:p>
            <w:pPr>
              <w:spacing w:after="0"/>
            </w:pPr>
            <w:r/>
            <w:r>
              <w:rPr>
                <w:sz w:val="17"/>
              </w:rPr>
              <w:t>Todos</w:t>
            </w:r>
          </w:p>
        </w:tc>
        <w:tc>
          <w:tcPr>
            <w:tcW w:type="dxa" w:w="3262"/>
          </w:tcPr>
          <w:p>
            <w:pPr>
              <w:spacing w:after="0"/>
            </w:pPr>
            <w:r/>
            <w:r>
              <w:rPr>
                <w:sz w:val="17"/>
              </w:rPr>
              <w:t>Promocional a dados de baja</w:t>
            </w:r>
          </w:p>
        </w:tc>
        <w:tc>
          <w:tcPr>
            <w:tcW w:type="dxa" w:w="1727"/>
          </w:tcPr>
          <w:p>
            <w:pPr>
              <w:spacing w:after="0"/>
            </w:pPr>
            <w:r/>
          </w:p>
        </w:tc>
        <w:tc>
          <w:tcPr>
            <w:tcW w:type="dxa" w:w="790"/>
          </w:tcPr>
          <w:p>
            <w:pPr>
              <w:spacing w:after="0"/>
            </w:pPr>
            <w:r/>
            <w:r>
              <w:rPr>
                <w:sz w:val="17"/>
              </w:rPr>
              <w:t>0</w:t>
            </w:r>
          </w:p>
        </w:tc>
        <w:tc>
          <w:tcPr>
            <w:tcW w:type="dxa" w:w="1727"/>
          </w:tcPr>
          <w:p>
            <w:pPr>
              <w:spacing w:after="0"/>
            </w:pPr>
            <w:r/>
            <w:r>
              <w:rPr>
                <w:sz w:val="17"/>
              </w:rPr>
              <w:t>79,994</w:t>
            </w:r>
          </w:p>
        </w:tc>
        <w:tc>
          <w:tcPr>
            <w:tcW w:type="dxa" w:w="1343"/>
          </w:tcPr>
          <w:p>
            <w:pPr>
              <w:spacing w:after="0"/>
            </w:pPr>
            <w:r/>
            <w:r>
              <w:rPr>
                <w:sz w:val="17"/>
              </w:rPr>
              <w:t>0</w:t>
            </w:r>
          </w:p>
        </w:tc>
      </w:tr>
      <w:tr>
        <w:tc>
          <w:tcPr>
            <w:tcW w:type="dxa" w:w="790"/>
          </w:tcPr>
          <w:p>
            <w:pPr>
              <w:spacing w:after="0"/>
            </w:pPr>
            <w:r/>
            <w:r>
              <w:rPr>
                <w:sz w:val="17"/>
              </w:rPr>
              <w:t>Todos</w:t>
            </w:r>
          </w:p>
        </w:tc>
        <w:tc>
          <w:tcPr>
            <w:tcW w:type="dxa" w:w="3262"/>
          </w:tcPr>
          <w:p>
            <w:pPr>
              <w:spacing w:after="0"/>
            </w:pPr>
            <w:r/>
            <w:r>
              <w:rPr>
                <w:sz w:val="17"/>
              </w:rPr>
              <w:t>Campañas activas debajo del mínimo</w:t>
            </w:r>
          </w:p>
        </w:tc>
        <w:tc>
          <w:tcPr>
            <w:tcW w:type="dxa" w:w="1727"/>
          </w:tcPr>
          <w:p>
            <w:pPr>
              <w:spacing w:after="0"/>
            </w:pPr>
            <w:r/>
          </w:p>
        </w:tc>
        <w:tc>
          <w:tcPr>
            <w:tcW w:type="dxa" w:w="790"/>
          </w:tcPr>
          <w:p>
            <w:pPr>
              <w:spacing w:after="0"/>
            </w:pPr>
            <w:r/>
            <w:r>
              <w:rPr>
                <w:sz w:val="17"/>
              </w:rPr>
              <w:t>0</w:t>
            </w:r>
          </w:p>
        </w:tc>
        <w:tc>
          <w:tcPr>
            <w:tcW w:type="dxa" w:w="1727"/>
          </w:tcPr>
          <w:p>
            <w:pPr>
              <w:spacing w:after="0"/>
            </w:pPr>
            <w:r/>
            <w:r>
              <w:rPr>
                <w:sz w:val="17"/>
              </w:rPr>
              <w:t>85</w:t>
            </w:r>
          </w:p>
        </w:tc>
        <w:tc>
          <w:tcPr>
            <w:tcW w:type="dxa" w:w="1343"/>
          </w:tcPr>
          <w:p>
            <w:pPr>
              <w:spacing w:after="0"/>
            </w:pPr>
            <w:r/>
            <w:r>
              <w:rPr>
                <w:sz w:val="17"/>
              </w:rPr>
              <w:t>0</w:t>
            </w:r>
          </w:p>
        </w:tc>
      </w:tr>
      <w:tr>
        <w:tc>
          <w:tcPr>
            <w:tcW w:type="dxa" w:w="790"/>
          </w:tcPr>
          <w:p>
            <w:pPr>
              <w:spacing w:after="0"/>
            </w:pPr>
            <w:r/>
            <w:r>
              <w:rPr>
                <w:sz w:val="17"/>
              </w:rPr>
              <w:t>Todos</w:t>
            </w:r>
          </w:p>
        </w:tc>
        <w:tc>
          <w:tcPr>
            <w:tcW w:type="dxa" w:w="3262"/>
          </w:tcPr>
          <w:p>
            <w:pPr>
              <w:spacing w:after="0"/>
            </w:pPr>
            <w:r/>
            <w:r>
              <w:rPr>
                <w:sz w:val="17"/>
              </w:rPr>
              <w:t>Envíos con ticket</w:t>
            </w:r>
          </w:p>
        </w:tc>
        <w:tc>
          <w:tcPr>
            <w:tcW w:type="dxa" w:w="1727"/>
          </w:tcPr>
          <w:p>
            <w:pPr>
              <w:spacing w:after="0"/>
            </w:pPr>
            <w:r/>
          </w:p>
        </w:tc>
        <w:tc>
          <w:tcPr>
            <w:tcW w:type="dxa" w:w="790"/>
          </w:tcPr>
          <w:p>
            <w:pPr>
              <w:spacing w:after="0"/>
            </w:pPr>
            <w:r/>
            <w:r>
              <w:rPr>
                <w:sz w:val="17"/>
              </w:rPr>
              <w:t>100 %</w:t>
            </w:r>
          </w:p>
        </w:tc>
        <w:tc>
          <w:tcPr>
            <w:tcW w:type="dxa" w:w="1727"/>
          </w:tcPr>
          <w:p>
            <w:pPr>
              <w:spacing w:after="0"/>
            </w:pPr>
            <w:r/>
            <w:r>
              <w:rPr>
                <w:sz w:val="17"/>
              </w:rPr>
              <w:t>87.4 %</w:t>
            </w:r>
          </w:p>
        </w:tc>
        <w:tc>
          <w:tcPr>
            <w:tcW w:type="dxa" w:w="1343"/>
          </w:tcPr>
          <w:p>
            <w:pPr>
              <w:spacing w:after="0"/>
            </w:pPr>
            <w:r/>
            <w:r>
              <w:rPr>
                <w:sz w:val="17"/>
              </w:rPr>
              <w:t>100 %</w:t>
            </w:r>
          </w:p>
        </w:tc>
      </w:tr>
    </w:tbl>
    <w:p>
      <w:pPr>
        <w:spacing w:after="40"/>
      </w:pPr>
    </w:p>
    <w:p>
      <w:pPr>
        <w:pStyle w:val="Heading2"/>
      </w:pPr>
      <w:r>
        <w:t>Anexo 2. Dónde está cada cosa en el Sheets `braze_auditoria_v3`</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285"/>
            <w:shd w:val="clear" w:color="auto" w:fill="E8EEF4"/>
          </w:tcPr>
          <w:p>
            <w:pPr>
              <w:spacing w:after="0"/>
            </w:pPr>
            <w:r>
              <w:rPr>
                <w:b/>
              </w:rPr>
            </w:r>
            <w:r>
              <w:rPr>
                <w:b/>
                <w:sz w:val="17"/>
              </w:rPr>
              <w:t>Pestaña</w:t>
            </w:r>
          </w:p>
        </w:tc>
        <w:tc>
          <w:tcPr>
            <w:tcW w:type="dxa" w:w="6425"/>
            <w:shd w:val="clear" w:color="auto" w:fill="E8EEF4"/>
          </w:tcPr>
          <w:p>
            <w:pPr>
              <w:spacing w:after="0"/>
            </w:pPr>
            <w:r>
              <w:rPr>
                <w:b/>
              </w:rPr>
            </w:r>
            <w:r>
              <w:rPr>
                <w:b/>
                <w:sz w:val="17"/>
              </w:rPr>
              <w:t>Qué trae</w:t>
            </w:r>
          </w:p>
        </w:tc>
        <w:tc>
          <w:tcPr>
            <w:tcW w:type="dxa" w:w="1928"/>
            <w:shd w:val="clear" w:color="auto" w:fill="E8EEF4"/>
          </w:tcPr>
          <w:p>
            <w:pPr>
              <w:spacing w:after="0"/>
            </w:pPr>
            <w:r>
              <w:rPr>
                <w:b/>
              </w:rPr>
            </w:r>
            <w:r>
              <w:rPr>
                <w:b/>
                <w:sz w:val="17"/>
              </w:rPr>
              <w:t>Para qué regla</w:t>
            </w:r>
          </w:p>
        </w:tc>
      </w:tr>
      <w:tr>
        <w:tc>
          <w:tcPr>
            <w:tcW w:type="dxa" w:w="1285"/>
          </w:tcPr>
          <w:p>
            <w:pPr>
              <w:spacing w:after="0"/>
            </w:pPr>
            <w:r/>
            <w:r>
              <w:rPr>
                <w:sz w:val="17"/>
              </w:rPr>
              <w:t>Léeme</w:t>
            </w:r>
          </w:p>
        </w:tc>
        <w:tc>
          <w:tcPr>
            <w:tcW w:type="dxa" w:w="6425"/>
          </w:tcPr>
          <w:p>
            <w:pPr>
              <w:spacing w:after="0"/>
            </w:pPr>
            <w:r/>
            <w:r>
              <w:rPr>
                <w:sz w:val="17"/>
              </w:rPr>
              <w:t>Qué es cada pestaña, supuestos, cambios por versión</w:t>
            </w:r>
          </w:p>
        </w:tc>
        <w:tc>
          <w:tcPr>
            <w:tcW w:type="dxa" w:w="1928"/>
          </w:tcPr>
          <w:p>
            <w:pPr>
              <w:spacing w:after="0"/>
            </w:pPr>
            <w:r/>
          </w:p>
        </w:tc>
      </w:tr>
      <w:tr>
        <w:tc>
          <w:tcPr>
            <w:tcW w:type="dxa" w:w="1285"/>
          </w:tcPr>
          <w:p>
            <w:pPr>
              <w:spacing w:after="0"/>
            </w:pPr>
            <w:r/>
            <w:r>
              <w:rPr>
                <w:sz w:val="17"/>
              </w:rPr>
              <w:t>Parámetros</w:t>
            </w:r>
          </w:p>
        </w:tc>
        <w:tc>
          <w:tcPr>
            <w:tcW w:type="dxa" w:w="6425"/>
          </w:tcPr>
          <w:p>
            <w:pPr>
              <w:spacing w:after="0"/>
            </w:pPr>
            <w:r/>
            <w:r>
              <w:rPr>
                <w:sz w:val="17"/>
              </w:rPr>
              <w:t>Costos por canal, mínimos, topes; cambiarlos recalcula todo</w:t>
            </w:r>
          </w:p>
        </w:tc>
        <w:tc>
          <w:tcPr>
            <w:tcW w:type="dxa" w:w="1928"/>
          </w:tcPr>
          <w:p>
            <w:pPr>
              <w:spacing w:after="0"/>
            </w:pPr>
            <w:r/>
            <w:r>
              <w:rPr>
                <w:sz w:val="17"/>
              </w:rPr>
              <w:t>B2, B5, B8</w:t>
            </w:r>
          </w:p>
        </w:tc>
      </w:tr>
      <w:tr>
        <w:tc>
          <w:tcPr>
            <w:tcW w:type="dxa" w:w="1285"/>
          </w:tcPr>
          <w:p>
            <w:pPr>
              <w:spacing w:after="0"/>
            </w:pPr>
            <w:r/>
            <w:r>
              <w:rPr>
                <w:sz w:val="17"/>
              </w:rPr>
              <w:t>Verificación</w:t>
            </w:r>
          </w:p>
        </w:tc>
        <w:tc>
          <w:tcPr>
            <w:tcW w:type="dxa" w:w="6425"/>
          </w:tcPr>
          <w:p>
            <w:pPr>
              <w:spacing w:after="0"/>
            </w:pPr>
            <w:r/>
            <w:r>
              <w:rPr>
                <w:sz w:val="17"/>
              </w:rPr>
              <w:t>419 comprobaciones de que las fórmulas cuadran</w:t>
            </w:r>
          </w:p>
        </w:tc>
        <w:tc>
          <w:tcPr>
            <w:tcW w:type="dxa" w:w="1928"/>
          </w:tcPr>
          <w:p>
            <w:pPr>
              <w:spacing w:after="0"/>
            </w:pPr>
            <w:r/>
          </w:p>
        </w:tc>
      </w:tr>
      <w:tr>
        <w:tc>
          <w:tcPr>
            <w:tcW w:type="dxa" w:w="1285"/>
          </w:tcPr>
          <w:p>
            <w:pPr>
              <w:spacing w:after="0"/>
            </w:pPr>
            <w:r/>
            <w:r>
              <w:rPr>
                <w:sz w:val="17"/>
              </w:rPr>
              <w:t>Canales</w:t>
            </w:r>
          </w:p>
        </w:tc>
        <w:tc>
          <w:tcPr>
            <w:tcW w:type="dxa" w:w="6425"/>
          </w:tcPr>
          <w:p>
            <w:pPr>
              <w:spacing w:after="0"/>
            </w:pPr>
            <w:r/>
            <w:r>
              <w:rPr>
                <w:sz w:val="17"/>
              </w:rPr>
              <w:t>Volumen, respuesta, costo y bajas por canal y mes</w:t>
            </w:r>
          </w:p>
        </w:tc>
        <w:tc>
          <w:tcPr>
            <w:tcW w:type="dxa" w:w="1928"/>
          </w:tcPr>
          <w:p>
            <w:pPr>
              <w:spacing w:after="0"/>
            </w:pPr>
            <w:r/>
            <w:r>
              <w:rPr>
                <w:sz w:val="17"/>
              </w:rPr>
              <w:t>C3, C4</w:t>
            </w:r>
          </w:p>
        </w:tc>
      </w:tr>
      <w:tr>
        <w:tc>
          <w:tcPr>
            <w:tcW w:type="dxa" w:w="1285"/>
          </w:tcPr>
          <w:p>
            <w:pPr>
              <w:spacing w:after="0"/>
            </w:pPr>
            <w:r/>
            <w:r>
              <w:rPr>
                <w:sz w:val="17"/>
              </w:rPr>
              <w:t>Equipos</w:t>
            </w:r>
          </w:p>
        </w:tc>
        <w:tc>
          <w:tcPr>
            <w:tcW w:type="dxa" w:w="6425"/>
          </w:tcPr>
          <w:p>
            <w:pPr>
              <w:spacing w:after="0"/>
            </w:pPr>
            <w:r/>
            <w:r>
              <w:rPr>
                <w:sz w:val="17"/>
              </w:rPr>
              <w:t>Lo mismo por equipo</w:t>
            </w:r>
          </w:p>
        </w:tc>
        <w:tc>
          <w:tcPr>
            <w:tcW w:type="dxa" w:w="1928"/>
          </w:tcPr>
          <w:p>
            <w:pPr>
              <w:spacing w:after="0"/>
            </w:pPr>
            <w:r/>
            <w:r>
              <w:rPr>
                <w:sz w:val="17"/>
              </w:rPr>
              <w:t>C2</w:t>
            </w:r>
          </w:p>
        </w:tc>
      </w:tr>
      <w:tr>
        <w:tc>
          <w:tcPr>
            <w:tcW w:type="dxa" w:w="1285"/>
          </w:tcPr>
          <w:p>
            <w:pPr>
              <w:spacing w:after="0"/>
            </w:pPr>
            <w:r/>
            <w:r>
              <w:rPr>
                <w:sz w:val="17"/>
              </w:rPr>
              <w:t>Campañas</w:t>
            </w:r>
          </w:p>
        </w:tc>
        <w:tc>
          <w:tcPr>
            <w:tcW w:type="dxa" w:w="6425"/>
          </w:tcPr>
          <w:p>
            <w:pPr>
              <w:spacing w:after="0"/>
            </w:pPr>
            <w:r/>
            <w:r>
              <w:rPr>
                <w:sz w:val="17"/>
              </w:rPr>
              <w:t>Una fila por familia y canal (1,913) con señal y acción</w:t>
            </w:r>
          </w:p>
        </w:tc>
        <w:tc>
          <w:tcPr>
            <w:tcW w:type="dxa" w:w="1928"/>
          </w:tcPr>
          <w:p>
            <w:pPr>
              <w:spacing w:after="0"/>
            </w:pPr>
            <w:r/>
            <w:r>
              <w:rPr>
                <w:sz w:val="17"/>
              </w:rPr>
              <w:t>B8, D2</w:t>
            </w:r>
          </w:p>
        </w:tc>
      </w:tr>
      <w:tr>
        <w:tc>
          <w:tcPr>
            <w:tcW w:type="dxa" w:w="1285"/>
          </w:tcPr>
          <w:p>
            <w:pPr>
              <w:spacing w:after="0"/>
            </w:pPr>
            <w:r/>
            <w:r>
              <w:rPr>
                <w:sz w:val="17"/>
              </w:rPr>
              <w:t>Catálogo</w:t>
            </w:r>
          </w:p>
        </w:tc>
        <w:tc>
          <w:tcPr>
            <w:tcW w:type="dxa" w:w="6425"/>
          </w:tcPr>
          <w:p>
            <w:pPr>
              <w:spacing w:after="0"/>
            </w:pPr>
            <w:r/>
            <w:r>
              <w:rPr>
                <w:sz w:val="17"/>
              </w:rPr>
              <w:t>Una fila por familia (1,821): equipo, producto, ticket, audiencia, gancho, estado, versiones</w:t>
            </w:r>
          </w:p>
        </w:tc>
        <w:tc>
          <w:tcPr>
            <w:tcW w:type="dxa" w:w="1928"/>
          </w:tcPr>
          <w:p>
            <w:pPr>
              <w:spacing w:after="0"/>
            </w:pPr>
            <w:r/>
            <w:r>
              <w:rPr>
                <w:sz w:val="17"/>
              </w:rPr>
              <w:t>A1, A11, D1 paso 2</w:t>
            </w:r>
          </w:p>
        </w:tc>
      </w:tr>
      <w:tr>
        <w:tc>
          <w:tcPr>
            <w:tcW w:type="dxa" w:w="1285"/>
          </w:tcPr>
          <w:p>
            <w:pPr>
              <w:spacing w:after="0"/>
            </w:pPr>
            <w:r/>
            <w:r>
              <w:rPr>
                <w:sz w:val="17"/>
              </w:rPr>
              <w:t>Vista_equipo</w:t>
            </w:r>
          </w:p>
        </w:tc>
        <w:tc>
          <w:tcPr>
            <w:tcW w:type="dxa" w:w="6425"/>
          </w:tcPr>
          <w:p>
            <w:pPr>
              <w:spacing w:after="0"/>
            </w:pPr>
            <w:r/>
            <w:r>
              <w:rPr>
                <w:sz w:val="17"/>
              </w:rPr>
              <w:t>Todo lo anterior para un equipo (celda B2)</w:t>
            </w:r>
          </w:p>
        </w:tc>
        <w:tc>
          <w:tcPr>
            <w:tcW w:type="dxa" w:w="1928"/>
          </w:tcPr>
          <w:p>
            <w:pPr>
              <w:spacing w:after="0"/>
            </w:pPr>
            <w:r/>
            <w:r>
              <w:rPr>
                <w:sz w:val="17"/>
              </w:rPr>
              <w:t>C2, D4</w:t>
            </w:r>
          </w:p>
        </w:tc>
      </w:tr>
      <w:tr>
        <w:tc>
          <w:tcPr>
            <w:tcW w:type="dxa" w:w="1285"/>
          </w:tcPr>
          <w:p>
            <w:pPr>
              <w:spacing w:after="0"/>
            </w:pPr>
            <w:r/>
            <w:r>
              <w:rPr>
                <w:sz w:val="17"/>
              </w:rPr>
              <w:t>Insights</w:t>
            </w:r>
          </w:p>
        </w:tc>
        <w:tc>
          <w:tcPr>
            <w:tcW w:type="dxa" w:w="6425"/>
          </w:tcPr>
          <w:p>
            <w:pPr>
              <w:spacing w:after="0"/>
            </w:pPr>
            <w:r/>
            <w:r>
              <w:rPr>
                <w:sz w:val="17"/>
              </w:rPr>
              <w:t>Hallazgos con cifra, filtrables por equipo y tema</w:t>
            </w:r>
          </w:p>
        </w:tc>
        <w:tc>
          <w:tcPr>
            <w:tcW w:type="dxa" w:w="1928"/>
          </w:tcPr>
          <w:p>
            <w:pPr>
              <w:spacing w:after="0"/>
            </w:pPr>
            <w:r/>
            <w:r>
              <w:rPr>
                <w:sz w:val="17"/>
              </w:rPr>
              <w:t>C7, C8</w:t>
            </w:r>
          </w:p>
        </w:tc>
      </w:tr>
      <w:tr>
        <w:tc>
          <w:tcPr>
            <w:tcW w:type="dxa" w:w="1285"/>
          </w:tcPr>
          <w:p>
            <w:pPr>
              <w:spacing w:after="0"/>
            </w:pPr>
            <w:r/>
            <w:r>
              <w:rPr>
                <w:sz w:val="17"/>
              </w:rPr>
              <w:t>Plan_accion</w:t>
            </w:r>
          </w:p>
        </w:tc>
        <w:tc>
          <w:tcPr>
            <w:tcW w:type="dxa" w:w="6425"/>
          </w:tcPr>
          <w:p>
            <w:pPr>
              <w:spacing w:after="0"/>
            </w:pPr>
            <w:r/>
            <w:r>
              <w:rPr>
                <w:sz w:val="17"/>
              </w:rPr>
              <w:t>Ahorro por acción, las diez familias que más pesan, y por equipo</w:t>
            </w:r>
          </w:p>
        </w:tc>
        <w:tc>
          <w:tcPr>
            <w:tcW w:type="dxa" w:w="1928"/>
          </w:tcPr>
          <w:p>
            <w:pPr>
              <w:spacing w:after="0"/>
            </w:pPr>
            <w:r/>
            <w:r>
              <w:rPr>
                <w:sz w:val="17"/>
              </w:rPr>
              <w:t>D2, D4</w:t>
            </w:r>
          </w:p>
        </w:tc>
      </w:tr>
      <w:tr>
        <w:tc>
          <w:tcPr>
            <w:tcW w:type="dxa" w:w="1285"/>
          </w:tcPr>
          <w:p>
            <w:pPr>
              <w:spacing w:after="0"/>
            </w:pPr>
            <w:r/>
            <w:r>
              <w:rPr>
                <w:sz w:val="17"/>
              </w:rPr>
              <w:t>Estándares</w:t>
            </w:r>
          </w:p>
        </w:tc>
        <w:tc>
          <w:tcPr>
            <w:tcW w:type="dxa" w:w="6425"/>
          </w:tcPr>
          <w:p>
            <w:pPr>
              <w:spacing w:after="0"/>
            </w:pPr>
            <w:r/>
            <w:r>
              <w:rPr>
                <w:sz w:val="17"/>
              </w:rPr>
              <w:t>24 indicadores con valor actual, estándar, estado y valor por equipo</w:t>
            </w:r>
          </w:p>
        </w:tc>
        <w:tc>
          <w:tcPr>
            <w:tcW w:type="dxa" w:w="1928"/>
          </w:tcPr>
          <w:p>
            <w:pPr>
              <w:spacing w:after="0"/>
            </w:pPr>
            <w:r/>
            <w:r>
              <w:rPr>
                <w:sz w:val="17"/>
              </w:rPr>
              <w:t>C1, D4, D5</w:t>
            </w:r>
          </w:p>
        </w:tc>
      </w:tr>
    </w:tbl>
    <w:p>
      <w:pPr>
        <w:spacing w:after="40"/>
      </w:pPr>
    </w:p>
    <w:p>
      <w:pPr>
        <w:pStyle w:val="Heading2"/>
      </w:pPr>
      <w:r>
        <w:t>Anexo 3. Supuestos y límites de las cifras</w:t>
      </w:r>
    </w:p>
    <w:p>
      <w:pPr>
        <w:pStyle w:val="ListBullet"/>
      </w:pPr>
      <w:r>
        <w:t>Periodo enero a septiembre de 2026; filas deduplicadas por envío; conversión con MAX por duplicados.</w:t>
      </w:r>
    </w:p>
    <w:p>
      <w:pPr>
        <w:pStyle w:val="ListBullet"/>
      </w:pPr>
      <w:r>
        <w:t>Respuesta y conversión según las definiciones del glosario; la conversión es referencia, no atribución (no hay grupo de control hoy).</w:t>
      </w:r>
    </w:p>
    <w:p>
      <w:pPr>
        <w:pStyle w:val="ListBullet"/>
      </w:pPr>
      <w:r>
        <w:t>Costos: email 0.05 MXN por enviado, WhatsApp 1.00 MXN por entregado (Parámetros!B6 permite cambiar a enviado), push e in-app 0. El costo fijo de Braze no está incluido (pendiente del usuario: qué significan los 7,020 USD al mes y 32,474 créditos).</w:t>
      </w:r>
    </w:p>
    <w:p>
      <w:pPr>
        <w:pStyle w:val="ListBullet"/>
      </w:pPr>
      <w:r>
        <w:t>Audiencia, gancho y tipo se infieren del nombre de la pieza; donde el nombre no sigue la convención (17 %) caen en "otros".</w:t>
      </w:r>
    </w:p>
    <w:p>
      <w:pPr>
        <w:pStyle w:val="ListBullet"/>
      </w:pPr>
      <w:r>
        <w:t>Las etapas del golden dataset cubren 37 % de los envíos (6.6 % de los usuarios).</w:t>
      </w:r>
    </w:p>
    <w:p>
      <w:pPr>
        <w:pStyle w:val="ListBullet"/>
      </w:pPr>
      <w:r>
        <w:t>Lectura de WhatsApp subestimada si el usuario tiene apagadas las confirmaciones de lectura.</w:t>
      </w:r>
    </w:p>
    <w:p>
      <w:pPr>
        <w:pStyle w:val="ListBullet"/>
      </w:pPr>
      <w:r>
        <w:t>Las bajas solo existen para email; push y WhatsApp se dan de baja fuera de Braze.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