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6F489F">
      <w:pPr>
        <w:pStyle w:val="af"/>
        <w:ind w:left="2124" w:firstLine="708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396849">
        <w:rPr>
          <w:color w:val="000000"/>
          <w:sz w:val="28"/>
          <w:szCs w:val="28"/>
        </w:rPr>
        <w:t>Монгуш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2631A4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2631A4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2631A4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263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263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263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263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263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263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263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263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>Методы интерфейса KompasObject.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 значение</w:t>
            </w:r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</w:t>
            </w:r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8" w:history="1"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сохранение деталей и сборок в формате 3D PDF для интерактивного просмотра при помощи бесплатной программы Adobe Reader;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35A77DFC" w:rsidR="00F6763A" w:rsidRP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0C1AC08E" w:rsidR="00813934" w:rsidRPr="00432274" w:rsidRDefault="00F6763A" w:rsidP="00F75BC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W1 &gt; W/2</w:t>
      </w:r>
    </w:p>
    <w:p w14:paraId="7959C254" w14:textId="307CAA63" w:rsidR="00432274" w:rsidRPr="00F75BC5" w:rsidRDefault="00432274" w:rsidP="00432274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A17613" wp14:editId="3687E3E5">
            <wp:extent cx="5524500" cy="351772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7708" cy="35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обозначений.[7]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52676202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9C077A">
        <w:rPr>
          <w:rFonts w:cs="Times New Roman"/>
          <w:color w:val="222222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9C077A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04506D46" w:rsidR="004C3DB0" w:rsidRDefault="009C077A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7CD4FF" wp14:editId="16EBB998">
            <wp:extent cx="5555672" cy="3477051"/>
            <wp:effectExtent l="0" t="0" r="698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301" cy="348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6115E38A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1D786F59" w:rsidR="008E154A" w:rsidRDefault="00412EC8" w:rsidP="00412EC8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546547" wp14:editId="76119042">
            <wp:extent cx="4861220" cy="4389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485" cy="43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1B3D5930" w:rsidR="00472545" w:rsidRDefault="00412EC8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Table</w:t>
      </w:r>
      <w:r w:rsidR="00472545">
        <w:rPr>
          <w:bCs/>
          <w:color w:val="000000"/>
          <w:lang w:val="en-US"/>
        </w:rPr>
        <w:t>Parameters</w:t>
      </w:r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4" w:name="_Toc34125504"/>
      <w:bookmarkStart w:id="15" w:name="_Toc36331835"/>
      <w:r>
        <w:t>3.3 Макет пользовательского интерфейса</w:t>
      </w:r>
      <w:bookmarkEnd w:id="14"/>
      <w:bookmarkEnd w:id="15"/>
    </w:p>
    <w:p w14:paraId="08501B5B" w14:textId="57EC6B8C" w:rsidR="007B09F7" w:rsidRPr="009A1999" w:rsidRDefault="008E154A" w:rsidP="00412EC8">
      <w:pPr>
        <w:spacing w:after="0" w:line="360" w:lineRule="auto"/>
        <w:jc w:val="both"/>
      </w:pPr>
      <w:r>
        <w:tab/>
      </w:r>
      <w:bookmarkStart w:id="16" w:name="_Toc36331836"/>
    </w:p>
    <w:p w14:paraId="578CA18B" w14:textId="77777777" w:rsidR="007B09F7" w:rsidRDefault="007B09F7">
      <w:pPr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1D5FC1D8" w14:textId="13FFCDF3" w:rsidR="000936B0" w:rsidRPr="000936B0" w:rsidRDefault="000936B0" w:rsidP="00753B8C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6"/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bookmarkStart w:id="17" w:name="_GoBack"/>
      <w:bookmarkEnd w:id="17"/>
      <w:r w:rsidRPr="00BD204B">
        <w:rPr>
          <w:color w:val="C00000"/>
        </w:rPr>
        <w:tab/>
      </w:r>
    </w:p>
    <w:sectPr w:rsidR="005D44C5" w:rsidRPr="00BD204B" w:rsidSect="00A665AA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291A3" w14:textId="77777777" w:rsidR="002631A4" w:rsidRDefault="002631A4" w:rsidP="001062E6">
      <w:pPr>
        <w:spacing w:after="0" w:line="240" w:lineRule="auto"/>
      </w:pPr>
      <w:r>
        <w:separator/>
      </w:r>
    </w:p>
  </w:endnote>
  <w:endnote w:type="continuationSeparator" w:id="0">
    <w:p w14:paraId="5B789F32" w14:textId="77777777" w:rsidR="002631A4" w:rsidRDefault="002631A4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B6B24" w14:textId="77777777" w:rsidR="002631A4" w:rsidRDefault="002631A4" w:rsidP="001062E6">
      <w:pPr>
        <w:spacing w:after="0" w:line="240" w:lineRule="auto"/>
      </w:pPr>
      <w:r>
        <w:separator/>
      </w:r>
    </w:p>
  </w:footnote>
  <w:footnote w:type="continuationSeparator" w:id="0">
    <w:p w14:paraId="4796F57A" w14:textId="77777777" w:rsidR="002631A4" w:rsidRDefault="002631A4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1CFE41CA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EC8"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2ED1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31A4"/>
    <w:rsid w:val="002674D2"/>
    <w:rsid w:val="002802A3"/>
    <w:rsid w:val="00282130"/>
    <w:rsid w:val="00282A41"/>
    <w:rsid w:val="002B7ABF"/>
    <w:rsid w:val="002C285E"/>
    <w:rsid w:val="002D192A"/>
    <w:rsid w:val="002D3709"/>
    <w:rsid w:val="002E69C7"/>
    <w:rsid w:val="002F44BF"/>
    <w:rsid w:val="00311984"/>
    <w:rsid w:val="00342F2D"/>
    <w:rsid w:val="00344E9B"/>
    <w:rsid w:val="00346532"/>
    <w:rsid w:val="00354BB5"/>
    <w:rsid w:val="003760EF"/>
    <w:rsid w:val="00381247"/>
    <w:rsid w:val="00384A00"/>
    <w:rsid w:val="0039624C"/>
    <w:rsid w:val="00396849"/>
    <w:rsid w:val="003A0768"/>
    <w:rsid w:val="003C58F9"/>
    <w:rsid w:val="003D5880"/>
    <w:rsid w:val="003D6965"/>
    <w:rsid w:val="00412EC8"/>
    <w:rsid w:val="00415CF2"/>
    <w:rsid w:val="00432274"/>
    <w:rsid w:val="004379A9"/>
    <w:rsid w:val="00445C86"/>
    <w:rsid w:val="004555B1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1E34"/>
    <w:rsid w:val="006252D5"/>
    <w:rsid w:val="0067277E"/>
    <w:rsid w:val="00680A32"/>
    <w:rsid w:val="006A271A"/>
    <w:rsid w:val="006D3150"/>
    <w:rsid w:val="006D568C"/>
    <w:rsid w:val="006E5317"/>
    <w:rsid w:val="006F489F"/>
    <w:rsid w:val="00705D80"/>
    <w:rsid w:val="00724C62"/>
    <w:rsid w:val="00734EC7"/>
    <w:rsid w:val="00753B8C"/>
    <w:rsid w:val="00770200"/>
    <w:rsid w:val="00773C48"/>
    <w:rsid w:val="00785683"/>
    <w:rsid w:val="0079185B"/>
    <w:rsid w:val="00795667"/>
    <w:rsid w:val="007B09F7"/>
    <w:rsid w:val="007E4459"/>
    <w:rsid w:val="007F6540"/>
    <w:rsid w:val="00813934"/>
    <w:rsid w:val="008272AE"/>
    <w:rsid w:val="00836928"/>
    <w:rsid w:val="0084098B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4F2E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E24FC"/>
    <w:rsid w:val="00EE7044"/>
    <w:rsid w:val="00F06C0D"/>
    <w:rsid w:val="00F1272A"/>
    <w:rsid w:val="00F208D4"/>
    <w:rsid w:val="00F249C2"/>
    <w:rsid w:val="00F34E4E"/>
    <w:rsid w:val="00F35212"/>
    <w:rsid w:val="00F62F2E"/>
    <w:rsid w:val="00F6763A"/>
    <w:rsid w:val="00F75BC5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E3786-1B77-4267-8D88-242C785E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14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Sayan Mongush</cp:lastModifiedBy>
  <cp:revision>7</cp:revision>
  <dcterms:created xsi:type="dcterms:W3CDTF">2021-01-26T13:48:00Z</dcterms:created>
  <dcterms:modified xsi:type="dcterms:W3CDTF">2021-03-26T11:00:00Z</dcterms:modified>
</cp:coreProperties>
</file>