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28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32.jpg" ContentType="image/jpeg"/>
  <Override PartName="/word/media/rId140.jpg" ContentType="image/jpeg"/>
  <Override PartName="/word/media/rId144.jpg" ContentType="image/jpeg"/>
  <Override PartName="/word/media/rId148.jpg" ContentType="image/jpeg"/>
  <Override PartName="/word/media/rId15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Ким Денис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 и познакомиться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данной работы мне предстоит познакомиться с понятием отладки, методами отладки, основными возможностями отладчика GDB. Также я научусь пользоваться отладкой программ с помощью данного отладчика.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15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Создаём каталог для выполнения лабораторной работы № 9, переходим в него и создаём файл lab9-1.asm: (рис. 1).</w:t>
      </w:r>
    </w:p>
    <w:bookmarkStart w:id="27" w:name="fig:001"/>
    <w:p>
      <w:pPr>
        <w:pStyle w:val="CaptionedFigure"/>
      </w:pPr>
      <w:r>
        <w:drawing>
          <wp:inline>
            <wp:extent cx="3733800" cy="1170180"/>
            <wp:effectExtent b="0" l="0" r="0" t="0"/>
            <wp:docPr descr="Рис. 1: Создание нового каталога и файла в нём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нового каталога и файла в нём</w:t>
      </w:r>
    </w:p>
    <w:bookmarkEnd w:id="27"/>
    <w:p>
      <w:pPr>
        <w:pStyle w:val="BodyText"/>
      </w:pPr>
      <w:r>
        <w:t xml:space="preserve">В качестве примера рассмотрим программу вычисления арифметического выражения f(x) = 2x + 7 с помощью подпрограммы _calcul. Изучаем его(рис. 2).</w:t>
      </w:r>
    </w:p>
    <w:bookmarkStart w:id="31" w:name="fig:002"/>
    <w:p>
      <w:pPr>
        <w:pStyle w:val="CaptionedFigure"/>
      </w:pPr>
      <w:r>
        <w:drawing>
          <wp:inline>
            <wp:extent cx="3733800" cy="3887771"/>
            <wp:effectExtent b="0" l="0" r="0" t="0"/>
            <wp:docPr descr="Рис. 2: Текст программы из листинга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из листинга</w:t>
      </w:r>
    </w:p>
    <w:bookmarkEnd w:id="31"/>
    <w:p>
      <w:pPr>
        <w:pStyle w:val="BodyText"/>
      </w:pPr>
      <w:r>
        <w:t xml:space="preserve">Проверяем работу файла: (рис. 3).</w:t>
      </w:r>
    </w:p>
    <w:bookmarkStart w:id="35" w:name="fig:003"/>
    <w:p>
      <w:pPr>
        <w:pStyle w:val="CaptionedFigure"/>
      </w:pPr>
      <w:r>
        <w:drawing>
          <wp:inline>
            <wp:extent cx="3733800" cy="821199"/>
            <wp:effectExtent b="0" l="0" r="0" t="0"/>
            <wp:docPr descr="Рис. 3: Запуск программы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программы</w:t>
      </w:r>
    </w:p>
    <w:bookmarkEnd w:id="35"/>
    <w:p>
      <w:pPr>
        <w:pStyle w:val="BodyText"/>
      </w:pPr>
      <w:r>
        <w:t xml:space="preserve">Изменяем текст программы, добавив подпрограмму _subcalcul в подпрограмму _calcul:(рис. 4).</w:t>
      </w:r>
    </w:p>
    <w:bookmarkStart w:id="39" w:name="fig:004"/>
    <w:p>
      <w:pPr>
        <w:pStyle w:val="CaptionedFigure"/>
      </w:pPr>
      <w:r>
        <w:drawing>
          <wp:inline>
            <wp:extent cx="3429000" cy="6438900"/>
            <wp:effectExtent b="0" l="0" r="0" t="0"/>
            <wp:docPr descr="Рис. 4: Изменение текста программы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текста программы</w:t>
      </w:r>
    </w:p>
    <w:bookmarkEnd w:id="39"/>
    <w:p>
      <w:pPr>
        <w:pStyle w:val="BodyText"/>
      </w:pPr>
      <w:r>
        <w:t xml:space="preserve">Проверяем работу файла программы с внесёнными изменениями: (рис. 5).</w:t>
      </w:r>
    </w:p>
    <w:bookmarkStart w:id="43" w:name="fig:005"/>
    <w:p>
      <w:pPr>
        <w:pStyle w:val="CaptionedFigure"/>
      </w:pPr>
      <w:r>
        <w:drawing>
          <wp:inline>
            <wp:extent cx="3733800" cy="960120"/>
            <wp:effectExtent b="0" l="0" r="0" t="0"/>
            <wp:docPr descr="Рис. 5: Запуск программы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программы</w:t>
      </w:r>
    </w:p>
    <w:bookmarkEnd w:id="43"/>
    <w:p>
      <w:pPr>
        <w:pStyle w:val="BodyText"/>
      </w:pPr>
      <w:r>
        <w:t xml:space="preserve">Создаём файл lab09-2.asm с текстом программы из Листинга 9.2. (Программа печати сообщения Hello world!). Загружаем исполняемый файл в отладчик gdb: (рис. 6).</w:t>
      </w:r>
    </w:p>
    <w:bookmarkStart w:id="47" w:name="fig:006"/>
    <w:p>
      <w:pPr>
        <w:pStyle w:val="CaptionedFigure"/>
      </w:pPr>
      <w:r>
        <w:drawing>
          <wp:inline>
            <wp:extent cx="3733800" cy="2354264"/>
            <wp:effectExtent b="0" l="0" r="0" t="0"/>
            <wp:docPr descr="Рис. 6: Загрузка исполняемого файл в отладчик gdb" title="" id="45" name="Picture"/>
            <a:graphic>
              <a:graphicData uri="http://schemas.openxmlformats.org/drawingml/2006/picture">
                <pic:pic>
                  <pic:nvPicPr>
                    <pic:cNvPr descr="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исполняемого файл в отладчик gdb</w:t>
      </w:r>
    </w:p>
    <w:bookmarkEnd w:id="47"/>
    <w:p>
      <w:pPr>
        <w:pStyle w:val="BodyText"/>
      </w:pPr>
      <w:r>
        <w:t xml:space="preserve">Проверяем работу программы, запустив ее в оболочке GDB с помощью команды run: (рис. 7).</w:t>
      </w:r>
    </w:p>
    <w:bookmarkStart w:id="51" w:name="fig:007"/>
    <w:p>
      <w:pPr>
        <w:pStyle w:val="CaptionedFigure"/>
      </w:pPr>
      <w:r>
        <w:drawing>
          <wp:inline>
            <wp:extent cx="3733800" cy="696219"/>
            <wp:effectExtent b="0" l="0" r="0" t="0"/>
            <wp:docPr descr="Рис. 7: Проверка работы программы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работы программы</w:t>
      </w:r>
    </w:p>
    <w:bookmarkEnd w:id="51"/>
    <w:p>
      <w:pPr>
        <w:pStyle w:val="BodyText"/>
      </w:pPr>
      <w:r>
        <w:t xml:space="preserve">Для более подробного анализа программы устанавливаем брейкпоинт на метку _start, с которой начинается выполнение любой ассемблерной программы, и запускаем её. (рис. 8).</w:t>
      </w:r>
    </w:p>
    <w:bookmarkStart w:id="55" w:name="fig:008"/>
    <w:p>
      <w:pPr>
        <w:pStyle w:val="CaptionedFigure"/>
      </w:pPr>
      <w:r>
        <w:drawing>
          <wp:inline>
            <wp:extent cx="3733800" cy="1036593"/>
            <wp:effectExtent b="0" l="0" r="0" t="0"/>
            <wp:docPr descr="Рис. 8: Установка брейкпоинта и запуск программы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брейкпоинта и запуск программы</w:t>
      </w:r>
    </w:p>
    <w:bookmarkEnd w:id="55"/>
    <w:p>
      <w:pPr>
        <w:pStyle w:val="BodyText"/>
      </w:pPr>
      <w:r>
        <w:t xml:space="preserve">Посмотрим дисассимилированный код программы с помощью команды disassemble, начиная с метки _start (рис. 9).</w:t>
      </w:r>
    </w:p>
    <w:bookmarkStart w:id="59" w:name="fig:009"/>
    <w:p>
      <w:pPr>
        <w:pStyle w:val="CaptionedFigure"/>
      </w:pPr>
      <w:r>
        <w:drawing>
          <wp:inline>
            <wp:extent cx="3733800" cy="1944257"/>
            <wp:effectExtent b="0" l="0" r="0" t="0"/>
            <wp:docPr descr="Рис. 9: Дисассимилированный код программы" title="" id="57" name="Picture"/>
            <a:graphic>
              <a:graphicData uri="http://schemas.openxmlformats.org/drawingml/2006/picture">
                <pic:pic>
                  <pic:nvPicPr>
                    <pic:cNvPr descr="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4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Дисассимилированный код программы</w:t>
      </w:r>
    </w:p>
    <w:bookmarkEnd w:id="59"/>
    <w:p>
      <w:pPr>
        <w:pStyle w:val="BodyText"/>
      </w:pPr>
      <w:r>
        <w:t xml:space="preserve">Переключаемся на отображение команд с Intel’овским синтаксисом, введя команду set disassembly-flavor intel. Отличия состоят в том, что в дисассимилированном отображении используются % и $, Intel их не использует: (рис. 10).</w:t>
      </w:r>
    </w:p>
    <w:bookmarkStart w:id="63" w:name="fig:010"/>
    <w:p>
      <w:pPr>
        <w:pStyle w:val="CaptionedFigure"/>
      </w:pPr>
      <w:r>
        <w:drawing>
          <wp:inline>
            <wp:extent cx="3733800" cy="2042244"/>
            <wp:effectExtent b="0" l="0" r="0" t="0"/>
            <wp:docPr descr="Рис. 10: Ввод команды set disassembly-flavor intel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команды set disassembly-flavor intel</w:t>
      </w:r>
    </w:p>
    <w:bookmarkEnd w:id="63"/>
    <w:p>
      <w:pPr>
        <w:pStyle w:val="BodyText"/>
      </w:pPr>
      <w:r>
        <w:t xml:space="preserve">Включаем режим псевдографики для более удобного анализа программы (рис. 9.2): (рис. 11).</w:t>
      </w:r>
    </w:p>
    <w:bookmarkStart w:id="67" w:name="fig:011"/>
    <w:p>
      <w:pPr>
        <w:pStyle w:val="CaptionedFigure"/>
      </w:pPr>
      <w:r>
        <w:drawing>
          <wp:inline>
            <wp:extent cx="3733800" cy="2733306"/>
            <wp:effectExtent b="0" l="0" r="0" t="0"/>
            <wp:docPr descr="Рис. 11: Включение режима псевдографики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Включение режима псевдографики</w:t>
      </w:r>
    </w:p>
    <w:bookmarkEnd w:id="67"/>
    <w:p>
      <w:pPr>
        <w:pStyle w:val="BodyText"/>
      </w:pPr>
      <w:r>
        <w:t xml:space="preserve">На предыдущих шагах была установлена точка останова по имени метки (_start). Проверяем это с помощью команды info breakpoints: (рис. 12).</w:t>
      </w:r>
    </w:p>
    <w:bookmarkStart w:id="71" w:name="fig:012"/>
    <w:p>
      <w:pPr>
        <w:pStyle w:val="CaptionedFigure"/>
      </w:pPr>
      <w:r>
        <w:drawing>
          <wp:inline>
            <wp:extent cx="3733800" cy="809677"/>
            <wp:effectExtent b="0" l="0" r="0" t="0"/>
            <wp:docPr descr="Рис. 12: Ввод команды info breakpoints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команды info breakpoints</w:t>
      </w:r>
    </w:p>
    <w:bookmarkEnd w:id="71"/>
    <w:p>
      <w:pPr>
        <w:pStyle w:val="BodyText"/>
      </w:pPr>
      <w:r>
        <w:t xml:space="preserve">Установим еще одну точку останова по адресу инструкции. Определяем адрес предпоследней инструкции (mov ebx,0x0) и устанавливаем точку останова: (рис. 13).</w:t>
      </w:r>
    </w:p>
    <w:bookmarkStart w:id="75" w:name="fig:013"/>
    <w:p>
      <w:pPr>
        <w:pStyle w:val="CaptionedFigure"/>
      </w:pPr>
      <w:r>
        <w:drawing>
          <wp:inline>
            <wp:extent cx="3733800" cy="1815328"/>
            <wp:effectExtent b="0" l="0" r="0" t="0"/>
            <wp:docPr descr="Рис. 13: Установка точки останова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точки останова</w:t>
      </w:r>
    </w:p>
    <w:bookmarkEnd w:id="75"/>
    <w:p>
      <w:pPr>
        <w:pStyle w:val="BodyText"/>
      </w:pPr>
      <w:r>
        <w:t xml:space="preserve">Посмотрим информацию о всех установленных точках останова: (рис. 14).</w:t>
      </w:r>
    </w:p>
    <w:bookmarkStart w:id="79" w:name="fig:014"/>
    <w:p>
      <w:pPr>
        <w:pStyle w:val="CaptionedFigure"/>
      </w:pPr>
      <w:r>
        <w:drawing>
          <wp:inline>
            <wp:extent cx="3733800" cy="691062"/>
            <wp:effectExtent b="0" l="0" r="0" t="0"/>
            <wp:docPr descr="Рис. 14: Ввод команды info breakpoints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Ввод команды info breakpoints</w:t>
      </w:r>
    </w:p>
    <w:bookmarkEnd w:id="79"/>
    <w:p>
      <w:pPr>
        <w:pStyle w:val="BodyText"/>
      </w:pPr>
      <w:r>
        <w:t xml:space="preserve">Выполняем 5 инструкций с помощью команды stepi (или si) и проследим за изменением значений регистров. (рис. 15).</w:t>
      </w:r>
    </w:p>
    <w:bookmarkStart w:id="83" w:name="fig:015"/>
    <w:p>
      <w:pPr>
        <w:pStyle w:val="CaptionedFigure"/>
      </w:pPr>
      <w:r>
        <w:drawing>
          <wp:inline>
            <wp:extent cx="3733800" cy="2774275"/>
            <wp:effectExtent b="0" l="0" r="0" t="0"/>
            <wp:docPr descr="Рис. 15: Использование команды stepi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Использование команды stepi</w:t>
      </w:r>
    </w:p>
    <w:bookmarkEnd w:id="83"/>
    <w:p>
      <w:pPr>
        <w:pStyle w:val="BodyText"/>
      </w:pPr>
      <w:r>
        <w:t xml:space="preserve">Посмотреть содержимое регистров также можно с помощью команды info registers: (рис. 16).</w:t>
      </w:r>
    </w:p>
    <w:bookmarkStart w:id="87" w:name="fig:016"/>
    <w:p>
      <w:pPr>
        <w:pStyle w:val="CaptionedFigure"/>
      </w:pPr>
      <w:r>
        <w:drawing>
          <wp:inline>
            <wp:extent cx="3733800" cy="1042960"/>
            <wp:effectExtent b="0" l="0" r="0" t="0"/>
            <wp:docPr descr="Рис. 16: Ввод команды info registers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Ввод команды info registers</w:t>
      </w:r>
    </w:p>
    <w:bookmarkEnd w:id="87"/>
    <w:p>
      <w:pPr>
        <w:pStyle w:val="BodyText"/>
      </w:pPr>
      <w:r>
        <w:t xml:space="preserve">Посмотрите значение переменной msg1 по имени: (рис. 17).</w:t>
      </w:r>
    </w:p>
    <w:bookmarkStart w:id="91" w:name="fig:017"/>
    <w:p>
      <w:pPr>
        <w:pStyle w:val="CaptionedFigure"/>
      </w:pPr>
      <w:r>
        <w:drawing>
          <wp:inline>
            <wp:extent cx="3733800" cy="1042960"/>
            <wp:effectExtent b="0" l="0" r="0" t="0"/>
            <wp:docPr descr="Рис. 17: Просмотр значения переменной msg1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значения переменной msg1</w:t>
      </w:r>
    </w:p>
    <w:bookmarkEnd w:id="91"/>
    <w:p>
      <w:pPr>
        <w:pStyle w:val="BodyText"/>
      </w:pPr>
      <w:r>
        <w:t xml:space="preserve">Посмотрим значение переменной msg2 по адресу. Адрес переменной можно определить по дизассемблированной инструкции. В данном случае я просмотрел значение переменной по имени. (рис. 18).</w:t>
      </w:r>
    </w:p>
    <w:bookmarkStart w:id="95" w:name="fig:018"/>
    <w:p>
      <w:pPr>
        <w:pStyle w:val="CaptionedFigure"/>
      </w:pPr>
      <w:r>
        <w:drawing>
          <wp:inline>
            <wp:extent cx="3733800" cy="1042960"/>
            <wp:effectExtent b="0" l="0" r="0" t="0"/>
            <wp:docPr descr="Рис. 18: Просмотр значения переменной msg2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значения переменной msg2</w:t>
      </w:r>
    </w:p>
    <w:bookmarkEnd w:id="95"/>
    <w:p>
      <w:pPr>
        <w:pStyle w:val="BodyText"/>
      </w:pPr>
      <w:r>
        <w:t xml:space="preserve">Изменяем первый символ переменной msg1 (рис. 9.5): (рис. 19).</w:t>
      </w:r>
    </w:p>
    <w:bookmarkStart w:id="99" w:name="fig:019"/>
    <w:p>
      <w:pPr>
        <w:pStyle w:val="CaptionedFigure"/>
      </w:pPr>
      <w:r>
        <w:drawing>
          <wp:inline>
            <wp:extent cx="3733800" cy="479762"/>
            <wp:effectExtent b="0" l="0" r="0" t="0"/>
            <wp:docPr descr="Рис. 19: Изменение первого символа переменной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первого символа переменной</w:t>
      </w:r>
    </w:p>
    <w:bookmarkEnd w:id="99"/>
    <w:p>
      <w:pPr>
        <w:pStyle w:val="BodyText"/>
      </w:pPr>
      <w:r>
        <w:t xml:space="preserve">Заменяем любой символ во второй переменной msg2: (рис. 20).</w:t>
      </w:r>
    </w:p>
    <w:bookmarkStart w:id="103" w:name="fig:020"/>
    <w:p>
      <w:pPr>
        <w:pStyle w:val="CaptionedFigure"/>
      </w:pPr>
      <w:r>
        <w:drawing>
          <wp:inline>
            <wp:extent cx="3733800" cy="925819"/>
            <wp:effectExtent b="0" l="0" r="0" t="0"/>
            <wp:docPr descr="Рис. 20: Изменение первого символа другой переменной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первого символа другой переменной</w:t>
      </w:r>
    </w:p>
    <w:bookmarkEnd w:id="103"/>
    <w:p>
      <w:pPr>
        <w:pStyle w:val="BodyText"/>
      </w:pPr>
      <w:r>
        <w:t xml:space="preserve">Выводим в различных форматах (в шестнадцатеричном формате, в двоичном формате и в символьном виде) значение регистра edx: (рис. 21).</w:t>
      </w:r>
    </w:p>
    <w:bookmarkStart w:id="107" w:name="fig:021"/>
    <w:p>
      <w:pPr>
        <w:pStyle w:val="CaptionedFigure"/>
      </w:pPr>
      <w:r>
        <w:drawing>
          <wp:inline>
            <wp:extent cx="3733800" cy="712168"/>
            <wp:effectExtent b="0" l="0" r="0" t="0"/>
            <wp:docPr descr="Рис. 21: Вывод значения регистра edx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Вывод значения регистра edx</w:t>
      </w:r>
    </w:p>
    <w:bookmarkEnd w:id="107"/>
    <w:p>
      <w:pPr>
        <w:pStyle w:val="BodyText"/>
      </w:pPr>
      <w:r>
        <w:t xml:space="preserve">С помощью команды set изменяем значение регистра ebx. Разница состоит в том, что команда выводит два разных значания, значения разнятся, так как в первый раз вносится значение 2, а второй регистр равен двум: (рис. 22).</w:t>
      </w:r>
    </w:p>
    <w:bookmarkStart w:id="111" w:name="fig:022"/>
    <w:p>
      <w:pPr>
        <w:pStyle w:val="CaptionedFigure"/>
      </w:pPr>
      <w:r>
        <w:drawing>
          <wp:inline>
            <wp:extent cx="3733800" cy="1617640"/>
            <wp:effectExtent b="0" l="0" r="0" t="0"/>
            <wp:docPr descr="Рис. 22: Изменение значения регистра ebx" title="" id="109" name="Picture"/>
            <a:graphic>
              <a:graphicData uri="http://schemas.openxmlformats.org/drawingml/2006/picture">
                <pic:pic>
                  <pic:nvPicPr>
                    <pic:cNvPr descr="image/2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Изменение значения регистра ebx</w:t>
      </w:r>
    </w:p>
    <w:bookmarkEnd w:id="111"/>
    <w:p>
      <w:pPr>
        <w:pStyle w:val="BodyText"/>
      </w:pPr>
      <w:r>
        <w:t xml:space="preserve">Завершаем выполнение программы с помощью команды continue и выходим из GDB с помощью команды quit (рис. 23).</w:t>
      </w:r>
    </w:p>
    <w:bookmarkStart w:id="115" w:name="fig:023"/>
    <w:p>
      <w:pPr>
        <w:pStyle w:val="CaptionedFigure"/>
      </w:pPr>
      <w:r>
        <w:drawing>
          <wp:inline>
            <wp:extent cx="3733800" cy="1363294"/>
            <wp:effectExtent b="0" l="0" r="0" t="0"/>
            <wp:docPr descr="Рис. 23: Завершение выполнения программы и выход" title="" id="113" name="Picture"/>
            <a:graphic>
              <a:graphicData uri="http://schemas.openxmlformats.org/drawingml/2006/picture">
                <pic:pic>
                  <pic:nvPicPr>
                    <pic:cNvPr descr="image/23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Завершение выполнения программы и выход</w:t>
      </w:r>
    </w:p>
    <w:bookmarkEnd w:id="115"/>
    <w:p>
      <w:pPr>
        <w:pStyle w:val="BodyText"/>
      </w:pPr>
      <w:r>
        <w:t xml:space="preserve">Скопируем файл lab8-2.asm, созданный при выполнении лабораторной работы №8: (рис. 24).</w:t>
      </w:r>
    </w:p>
    <w:bookmarkStart w:id="119" w:name="fig:024"/>
    <w:p>
      <w:pPr>
        <w:pStyle w:val="CaptionedFigure"/>
      </w:pPr>
      <w:r>
        <w:drawing>
          <wp:inline>
            <wp:extent cx="3733800" cy="351173"/>
            <wp:effectExtent b="0" l="0" r="0" t="0"/>
            <wp:docPr descr="Рис. 24: Копирование файла" title="" id="117" name="Picture"/>
            <a:graphic>
              <a:graphicData uri="http://schemas.openxmlformats.org/drawingml/2006/picture">
                <pic:pic>
                  <pic:nvPicPr>
                    <pic:cNvPr descr="image/24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Копирование файла</w:t>
      </w:r>
    </w:p>
    <w:bookmarkEnd w:id="119"/>
    <w:p>
      <w:pPr>
        <w:pStyle w:val="BodyText"/>
      </w:pPr>
      <w:r>
        <w:t xml:space="preserve">Создаём исполняемый файл. (рис. 25).</w:t>
      </w:r>
    </w:p>
    <w:bookmarkStart w:id="123" w:name="fig:025"/>
    <w:p>
      <w:pPr>
        <w:pStyle w:val="CaptionedFigure"/>
      </w:pPr>
      <w:r>
        <w:drawing>
          <wp:inline>
            <wp:extent cx="3733800" cy="232394"/>
            <wp:effectExtent b="0" l="0" r="0" t="0"/>
            <wp:docPr descr="Рис. 25: Создание исполняемого файла" title="" id="121" name="Picture"/>
            <a:graphic>
              <a:graphicData uri="http://schemas.openxmlformats.org/drawingml/2006/picture">
                <pic:pic>
                  <pic:nvPicPr>
                    <pic:cNvPr descr="image/25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исполняемого файла</w:t>
      </w:r>
    </w:p>
    <w:bookmarkEnd w:id="123"/>
    <w:p>
      <w:pPr>
        <w:pStyle w:val="BodyText"/>
      </w:pPr>
      <w:r>
        <w:t xml:space="preserve">Загружаем исполняемый файл в отладчик, указав заданные аргументы. Для начала установим точку останова перед первой инструкцией в программе и запустим её: (рис. 26).</w:t>
      </w:r>
    </w:p>
    <w:bookmarkStart w:id="127" w:name="fig:026"/>
    <w:p>
      <w:pPr>
        <w:pStyle w:val="CaptionedFigure"/>
      </w:pPr>
      <w:r>
        <w:drawing>
          <wp:inline>
            <wp:extent cx="3733800" cy="2747415"/>
            <wp:effectExtent b="0" l="0" r="0" t="0"/>
            <wp:docPr descr="Рис. 26: Загрузка исполняемого файла в отладчик" title="" id="125" name="Picture"/>
            <a:graphic>
              <a:graphicData uri="http://schemas.openxmlformats.org/drawingml/2006/picture">
                <pic:pic>
                  <pic:nvPicPr>
                    <pic:cNvPr descr="image/26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Загрузка исполняемого файла в отладчик</w:t>
      </w:r>
    </w:p>
    <w:bookmarkEnd w:id="127"/>
    <w:p>
      <w:pPr>
        <w:pStyle w:val="BodyText"/>
      </w:pPr>
      <w:r>
        <w:t xml:space="preserve">Адрес вершины стека храниться в регистре esp и по этому адресу располагается число, равное количеству аргументов командной строки. Посмотрим остальные позиции стека – по адресу [esp+4] располагается адрес в памяти, где находится имя программы, по адесу [esp+8] хранится адрес первого аргумента, по адресу [esp+12] – второго и т.д. Элементы расположены с интервалом в 4, так как стек может хранить до 4 байт: (рис. 27).</w:t>
      </w:r>
    </w:p>
    <w:bookmarkStart w:id="131" w:name="fig:027"/>
    <w:p>
      <w:pPr>
        <w:pStyle w:val="CaptionedFigure"/>
      </w:pPr>
      <w:r>
        <w:drawing>
          <wp:inline>
            <wp:extent cx="3733800" cy="1833331"/>
            <wp:effectExtent b="0" l="0" r="0" t="0"/>
            <wp:docPr descr="Рис. 27: Просмотр остальных позиций стека" title="" id="129" name="Picture"/>
            <a:graphic>
              <a:graphicData uri="http://schemas.openxmlformats.org/drawingml/2006/picture">
                <pic:pic>
                  <pic:nvPicPr>
                    <pic:cNvPr descr="image/27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Просмотр остальных позиций стека</w:t>
      </w:r>
    </w:p>
    <w:bookmarkEnd w:id="131"/>
    <w:p>
      <w:pPr>
        <w:pStyle w:val="BodyText"/>
      </w:pPr>
      <w:r>
        <w:t xml:space="preserve">Выполняем задания для самомстоятельной работы. Преобразуем программу из лабораторной работы №8, реализовав вычисление значения функции f(x) как подпрограмму: (рис. 28).</w:t>
      </w:r>
    </w:p>
    <w:bookmarkStart w:id="135" w:name="fig:028"/>
    <w:p>
      <w:pPr>
        <w:pStyle w:val="CaptionedFigure"/>
      </w:pPr>
      <w:r>
        <w:drawing>
          <wp:inline>
            <wp:extent cx="3733800" cy="2742251"/>
            <wp:effectExtent b="0" l="0" r="0" t="0"/>
            <wp:docPr descr="Рис. 28: Изменение текста программы" title="" id="133" name="Picture"/>
            <a:graphic>
              <a:graphicData uri="http://schemas.openxmlformats.org/drawingml/2006/picture">
                <pic:pic>
                  <pic:nvPicPr>
                    <pic:cNvPr descr="image/28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Изменение текста программы</w:t>
      </w:r>
    </w:p>
    <w:bookmarkEnd w:id="135"/>
    <w:p>
      <w:pPr>
        <w:pStyle w:val="BodyText"/>
      </w:pPr>
      <w:r>
        <w:t xml:space="preserve">Проверяем правильность: (рис. 29).</w:t>
      </w:r>
    </w:p>
    <w:bookmarkStart w:id="139" w:name="fig:029"/>
    <w:p>
      <w:pPr>
        <w:pStyle w:val="CaptionedFigure"/>
      </w:pPr>
      <w:r>
        <w:drawing>
          <wp:inline>
            <wp:extent cx="3733800" cy="490609"/>
            <wp:effectExtent b="0" l="0" r="0" t="0"/>
            <wp:docPr descr="Рис. 29: Запуск программы" title="" id="137" name="Picture"/>
            <a:graphic>
              <a:graphicData uri="http://schemas.openxmlformats.org/drawingml/2006/picture">
                <pic:pic>
                  <pic:nvPicPr>
                    <pic:cNvPr descr="image/29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 программы</w:t>
      </w:r>
    </w:p>
    <w:bookmarkEnd w:id="139"/>
    <w:p>
      <w:pPr>
        <w:pStyle w:val="BodyText"/>
      </w:pPr>
      <w:r>
        <w:t xml:space="preserve">В листинге 9.3 приведена программа вычисления выражения (3 + 2) ∗ 4 + 5. При запуске данная программа дает неверный результат - выражение равно 25, но программа выдаёт 10: (рис. 30).</w:t>
      </w:r>
    </w:p>
    <w:bookmarkStart w:id="143" w:name="fig:030"/>
    <w:p>
      <w:pPr>
        <w:pStyle w:val="CaptionedFigure"/>
      </w:pPr>
      <w:r>
        <w:drawing>
          <wp:inline>
            <wp:extent cx="3733800" cy="707511"/>
            <wp:effectExtent b="0" l="0" r="0" t="0"/>
            <wp:docPr descr="Рис. 30: Получение неправильного ответа" title="" id="141" name="Picture"/>
            <a:graphic>
              <a:graphicData uri="http://schemas.openxmlformats.org/drawingml/2006/picture">
                <pic:pic>
                  <pic:nvPicPr>
                    <pic:cNvPr descr="image/30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Получение неправильного ответа</w:t>
      </w:r>
    </w:p>
    <w:bookmarkEnd w:id="143"/>
    <w:p>
      <w:pPr>
        <w:pStyle w:val="BodyText"/>
      </w:pPr>
      <w:r>
        <w:t xml:space="preserve">Запускаем отладчик и анализируем: (рис. 31).</w:t>
      </w:r>
    </w:p>
    <w:bookmarkStart w:id="147" w:name="fig:031"/>
    <w:p>
      <w:pPr>
        <w:pStyle w:val="CaptionedFigure"/>
      </w:pPr>
      <w:r>
        <w:drawing>
          <wp:inline>
            <wp:extent cx="3733800" cy="1946946"/>
            <wp:effectExtent b="0" l="0" r="0" t="0"/>
            <wp:docPr descr="Рис. 31: Запуск отладчика" title="" id="145" name="Picture"/>
            <a:graphic>
              <a:graphicData uri="http://schemas.openxmlformats.org/drawingml/2006/picture">
                <pic:pic>
                  <pic:nvPicPr>
                    <pic:cNvPr descr="image/31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Запуск отладчика</w:t>
      </w:r>
    </w:p>
    <w:bookmarkEnd w:id="147"/>
    <w:p>
      <w:pPr>
        <w:pStyle w:val="BodyText"/>
      </w:pPr>
      <w:r>
        <w:t xml:space="preserve">Исправляем ошибки в регистрах (например, в одной строчке они перепутаны): (рис. 32).</w:t>
      </w:r>
    </w:p>
    <w:bookmarkStart w:id="151" w:name="fig:032"/>
    <w:p>
      <w:pPr>
        <w:pStyle w:val="CaptionedFigure"/>
      </w:pPr>
      <w:r>
        <w:drawing>
          <wp:inline>
            <wp:extent cx="3733800" cy="2757744"/>
            <wp:effectExtent b="0" l="0" r="0" t="0"/>
            <wp:docPr descr="Рис. 32: Исправление ошибок" title="" id="149" name="Picture"/>
            <a:graphic>
              <a:graphicData uri="http://schemas.openxmlformats.org/drawingml/2006/picture">
                <pic:pic>
                  <pic:nvPicPr>
                    <pic:cNvPr descr="image/32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Исправление ошибок</w:t>
      </w:r>
    </w:p>
    <w:bookmarkEnd w:id="151"/>
    <w:p>
      <w:pPr>
        <w:pStyle w:val="BodyText"/>
      </w:pPr>
      <w:r>
        <w:t xml:space="preserve">Запускаем программу и получаем правильный ответ: (рис. 33).</w:t>
      </w:r>
    </w:p>
    <w:bookmarkStart w:id="155" w:name="fig:033"/>
    <w:p>
      <w:pPr>
        <w:pStyle w:val="CaptionedFigure"/>
      </w:pPr>
      <w:r>
        <w:drawing>
          <wp:inline>
            <wp:extent cx="3733800" cy="2757744"/>
            <wp:effectExtent b="0" l="0" r="0" t="0"/>
            <wp:docPr descr="Рис. 33: Запуск программы и получение правильного ответа" title="" id="153" name="Picture"/>
            <a:graphic>
              <a:graphicData uri="http://schemas.openxmlformats.org/drawingml/2006/picture">
                <pic:pic>
                  <pic:nvPicPr>
                    <pic:cNvPr descr="image/33.jp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Запуск программы и получение правильного ответа</w:t>
      </w:r>
    </w:p>
    <w:bookmarkEnd w:id="155"/>
    <w:bookmarkEnd w:id="156"/>
    <w:bookmarkStart w:id="1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приобрёл навыки написания программ с использованием подпрограмм и познакомился с методами отладки при помощи GDB и его основными возможностями.</w:t>
      </w:r>
    </w:p>
    <w:bookmarkEnd w:id="157"/>
    <w:bookmarkStart w:id="164" w:name="список-литературы"/>
    <w:p>
      <w:pPr>
        <w:pStyle w:val="Heading1"/>
      </w:pPr>
      <w:r>
        <w:t xml:space="preserve">Список литературы</w:t>
      </w:r>
    </w:p>
    <w:bookmarkStart w:id="163" w:name="refs"/>
    <w:bookmarkStart w:id="15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58"/>
    <w:bookmarkStart w:id="15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59"/>
    <w:bookmarkStart w:id="16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60"/>
    <w:bookmarkStart w:id="16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6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62"/>
    <w:bookmarkEnd w:id="163"/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8" Target="media/rId28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32" Target="media/rId32.jpg" /><Relationship Type="http://schemas.openxmlformats.org/officeDocument/2006/relationships/image" Id="rId140" Target="media/rId140.jpg" /><Relationship Type="http://schemas.openxmlformats.org/officeDocument/2006/relationships/image" Id="rId144" Target="media/rId144.jpg" /><Relationship Type="http://schemas.openxmlformats.org/officeDocument/2006/relationships/image" Id="rId148" Target="media/rId148.jpg" /><Relationship Type="http://schemas.openxmlformats.org/officeDocument/2006/relationships/image" Id="rId152" Target="media/rId15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16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Ким Денис Вячеславович</dc:creator>
  <dc:language>ru-RU</dc:language>
  <cp:keywords/>
  <dcterms:created xsi:type="dcterms:W3CDTF">2024-12-06T13:43:00Z</dcterms:created>
  <dcterms:modified xsi:type="dcterms:W3CDTF">2024-12-06T13:43:00Z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