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Handbook</w:t>
      </w:r>
    </w:p>
    <w:p>
      <w:pPr>
        <w:pStyle w:val="Heading2"/>
      </w:pPr>
      <w:r>
        <w:t xml:space="preserve">Onboarding</w:t>
      </w:r>
    </w:p>
    <w:p>
      <w:r>
        <w:t xml:space="preserve">Every new engineer pairs with a mentor during the first month.</w:t>
      </w:r>
    </w:p>
    <w:p>
      <w:pPr>
        <w:pStyle w:val="Heading2"/>
      </w:pPr>
      <w:r>
        <w:t xml:space="preserve">Environment Setup</w:t>
      </w:r>
    </w:p>
    <w:p>
      <w:r>
        <w:t xml:space="preserve">Install the toolchain, clone the repository, and run the test suite.</w:t>
      </w:r>
    </w:p>
    <w:p>
      <w:pPr>
        <w:pStyle w:val="Heading1"/>
      </w:pPr>
      <w:r>
        <w:t xml:space="preserve">Daily Workflow</w:t>
      </w:r>
    </w:p>
    <w:p>
      <w:r>
        <w:t xml:space="preserve">Pick one story from the board and move it through review.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