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Kicker"/>
        <w:jc w:val="center"/>
        <w:spacing w:before="900" w:after="180"/>
      </w:pPr>
      <w:r>
        <w:t xml:space="preserve">KONZEPTPAPIER</w:t>
      </w:r>
    </w:p>
    <w:p>
      <w:pPr>
        <w:pStyle w:val="Title"/>
        <w:jc w:val="center"/>
        <w:spacing w:after="180"/>
      </w:pPr>
      <w:r>
        <w:t xml:space="preserve">SaaS-Plattform für Laufanlässe</w:t>
      </w:r>
    </w:p>
    <w:p>
      <w:pPr>
        <w:pStyle w:val="Subtitle"/>
        <w:jc w:val="center"/>
        <w:spacing w:after="600"/>
      </w:pPr>
      <w:r>
        <w:t xml:space="preserve">Mandantenfähiger Betrieb mit eigener Subdomain und Abonnement pro Kunde</w:t>
      </w:r>
    </w:p>
    <w:p>
      <w:pPr>
        <w:pStyle w:val="Quote"/>
        <w:jc w:val="center"/>
        <w:spacing w:after="500"/>
      </w:pPr>
      <w:r>
        <w:rPr>
          <w:i/>
        </w:rPr>
        <w:t xml:space="preserve">Diskussions- und Entscheidungsgrundlage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400"/>
        <w:gridCol w:w="7100"/>
      </w:tblGrid>
      <w:tr>
        <w:tc>
          <w:tcPr>
            <w:tcW w:w="2400" w:type="dxa"/>
            <w:vAlign w:val="top"/>
          </w:tcPr>
          <w:p>
            <w:pPr>
              <w:spacing w:after="40"/>
            </w:pPr>
            <w:r>
              <w:t xml:space="preserve">Dokumentstatus</w:t>
            </w:r>
          </w:p>
        </w:tc>
        <w:tc>
          <w:tcPr>
            <w:tcW w:w="7100" w:type="dxa"/>
            <w:vAlign w:val="top"/>
          </w:tcPr>
          <w:p>
            <w:pPr>
              <w:spacing w:after="40"/>
            </w:pPr>
            <w:r>
              <w:t xml:space="preserve">Konzeptentwurf – noch keine Umsetzungsfreigabe</w:t>
            </w:r>
          </w:p>
        </w:tc>
      </w:tr>
      <w:tr>
        <w:tc>
          <w:tcPr>
            <w:tcW w:w="2400" w:type="dxa"/>
            <w:vAlign w:val="top"/>
          </w:tcPr>
          <w:p>
            <w:pPr>
              <w:spacing w:after="40"/>
            </w:pPr>
            <w:r>
              <w:t xml:space="preserve">Version</w:t>
            </w:r>
          </w:p>
        </w:tc>
        <w:tc>
          <w:tcPr>
            <w:tcW w:w="7100" w:type="dxa"/>
            <w:vAlign w:val="top"/>
          </w:tcPr>
          <w:p>
            <w:pPr>
              <w:spacing w:after="40"/>
            </w:pPr>
            <w:r>
              <w:t xml:space="preserve">0.1</w:t>
            </w:r>
          </w:p>
        </w:tc>
      </w:tr>
      <w:tr>
        <w:tc>
          <w:tcPr>
            <w:tcW w:w="2400" w:type="dxa"/>
            <w:vAlign w:val="top"/>
          </w:tcPr>
          <w:p>
            <w:pPr>
              <w:spacing w:after="40"/>
            </w:pPr>
            <w:r>
              <w:t xml:space="preserve">Datum</w:t>
            </w:r>
          </w:p>
        </w:tc>
        <w:tc>
          <w:tcPr>
            <w:tcW w:w="7100" w:type="dxa"/>
            <w:vAlign w:val="top"/>
          </w:tcPr>
          <w:p>
            <w:pPr>
              <w:spacing w:after="40"/>
            </w:pPr>
            <w:r>
              <w:t xml:space="preserve">6. Juli 2026</w:t>
            </w:r>
          </w:p>
        </w:tc>
      </w:tr>
      <w:tr>
        <w:tc>
          <w:tcPr>
            <w:tcW w:w="2400" w:type="dxa"/>
            <w:vAlign w:val="top"/>
          </w:tcPr>
          <w:p>
            <w:pPr>
              <w:spacing w:after="40"/>
            </w:pPr>
            <w:r>
              <w:t xml:space="preserve">Zielgruppe</w:t>
            </w:r>
          </w:p>
        </w:tc>
        <w:tc>
          <w:tcPr>
            <w:tcW w:w="7100" w:type="dxa"/>
            <w:vAlign w:val="top"/>
          </w:tcPr>
          <w:p>
            <w:pPr>
              <w:spacing w:after="40"/>
            </w:pPr>
            <w:r>
              <w:t xml:space="preserve">Projektverantwortliche, Produktverantwortliche, Entwicklung, Betrieb und Datenschutzberatung</w:t>
            </w:r>
          </w:p>
        </w:tc>
      </w:tr>
      <w:tr>
        <w:tc>
          <w:tcPr>
            <w:tcW w:w="2400" w:type="dxa"/>
            <w:vAlign w:val="top"/>
          </w:tcPr>
          <w:p>
            <w:pPr>
              <w:spacing w:after="40"/>
            </w:pPr>
            <w:r>
              <w:t xml:space="preserve">Arbeitstitel der Plattform</w:t>
            </w:r>
          </w:p>
        </w:tc>
        <w:tc>
          <w:tcPr>
            <w:tcW w:w="7100" w:type="dxa"/>
            <w:vAlign w:val="top"/>
          </w:tcPr>
          <w:p>
            <w:pPr>
              <w:spacing w:after="40"/>
            </w:pPr>
            <w:r>
              <w:t xml:space="preserve">Laufapp / laufapp.ch (Platzhalter)</w:t>
            </w:r>
          </w:p>
        </w:tc>
      </w:tr>
    </w:tbl>
    <w:p>
      <w:pPr>
        <w:spacing w:after="40"/>
      </w:pPr>
      <w:r>
        <w:t xml:space="preserve"/>
      </w:r>
    </w:p>
    <w:p>
      <w:pPr>
        <w:pStyle w:val="Heading3"/>
        <w:keepNext/>
      </w:pPr>
      <w:r>
        <w:t xml:space="preserve">Hinweis</w:t>
      </w:r>
    </w:p>
    <w:p>
      <w:pPr>
        <w:shd w:val="clear" w:color="auto" w:fill="FFF2CC"/>
        <w:ind w:left="160" w:right="160"/>
      </w:pPr>
      <w:r>
        <w:t xml:space="preserve">Dieses Dokument beschreibt eine mögliche Produkterweiterung. Es legt noch keine endgültige Architektur, keinen Zahlungsanbieter und keine rechtliche Ausgestaltung verbindlich fest. Aufwandsschätzungen sind Grössenordnungen und müssen nach den offenen Produktentscheiden verfeinert werden.</w:t>
      </w:r>
    </w:p>
    <w:p>
      <w:r>
        <w:br w:type="page"/>
      </w:r>
    </w:p>
    <w:p>
      <w:pPr>
        <w:pStyle w:val="Heading1"/>
        <w:keepNext/>
      </w:pPr>
      <w:r>
        <w:t xml:space="preserve">Inhaltsübersicht</w:t>
      </w:r>
    </w:p>
    <w:p>
      <w:pPr>
        <w:pStyle w:val="ListBullet"/>
        <w:ind w:left="360" w:hanging="240"/>
      </w:pPr>
      <w:r>
        <w:t xml:space="preserve">• 1. Management Summary</w:t>
      </w:r>
    </w:p>
    <w:p>
      <w:pPr>
        <w:pStyle w:val="ListBullet"/>
        <w:ind w:left="360" w:hanging="240"/>
      </w:pPr>
      <w:r>
        <w:t xml:space="preserve">• 2. Ausgangslage und Motivation</w:t>
      </w:r>
    </w:p>
    <w:p>
      <w:pPr>
        <w:pStyle w:val="ListBullet"/>
        <w:ind w:left="360" w:hanging="240"/>
      </w:pPr>
      <w:r>
        <w:t xml:space="preserve">• 3. Zielbild und Abgrenzung</w:t>
      </w:r>
    </w:p>
    <w:p>
      <w:pPr>
        <w:pStyle w:val="ListBullet"/>
        <w:ind w:left="360" w:hanging="240"/>
      </w:pPr>
      <w:r>
        <w:t xml:space="preserve">• 4. Fachliche und nichtfunktionale Anforderungen</w:t>
      </w:r>
    </w:p>
    <w:p>
      <w:pPr>
        <w:pStyle w:val="ListBullet"/>
        <w:ind w:left="360" w:hanging="240"/>
      </w:pPr>
      <w:r>
        <w:t xml:space="preserve">• 5. Architekturvarianten und Empfehlung</w:t>
      </w:r>
    </w:p>
    <w:p>
      <w:pPr>
        <w:pStyle w:val="ListBullet"/>
        <w:ind w:left="360" w:hanging="240"/>
      </w:pPr>
      <w:r>
        <w:t xml:space="preserve">• 6. Zielarchitektur</w:t>
      </w:r>
    </w:p>
    <w:p>
      <w:pPr>
        <w:pStyle w:val="ListBullet"/>
        <w:ind w:left="360" w:hanging="240"/>
      </w:pPr>
      <w:r>
        <w:t xml:space="preserve">• 7. Domains, Subdomains und TLS</w:t>
      </w:r>
    </w:p>
    <w:p>
      <w:pPr>
        <w:pStyle w:val="ListBullet"/>
        <w:ind w:left="360" w:hanging="240"/>
      </w:pPr>
      <w:r>
        <w:t xml:space="preserve">• 8. Mandantenauflösung und Datenisolation</w:t>
      </w:r>
    </w:p>
    <w:p>
      <w:pPr>
        <w:pStyle w:val="ListBullet"/>
        <w:ind w:left="360" w:hanging="240"/>
      </w:pPr>
      <w:r>
        <w:t xml:space="preserve">• 9. Benutzer, Rollen und Anmeldung</w:t>
      </w:r>
    </w:p>
    <w:p>
      <w:pPr>
        <w:pStyle w:val="ListBullet"/>
        <w:ind w:left="360" w:hanging="240"/>
      </w:pPr>
      <w:r>
        <w:t xml:space="preserve">• 10. Abonnement- und Zahlungsmodell</w:t>
      </w:r>
    </w:p>
    <w:p>
      <w:pPr>
        <w:pStyle w:val="ListBullet"/>
        <w:ind w:left="360" w:hanging="240"/>
      </w:pPr>
      <w:r>
        <w:t xml:space="preserve">• 11. Automatische Bereitstellung eines Kunden</w:t>
      </w:r>
    </w:p>
    <w:p>
      <w:pPr>
        <w:pStyle w:val="ListBullet"/>
        <w:ind w:left="360" w:hanging="240"/>
      </w:pPr>
      <w:r>
        <w:t xml:space="preserve">• 12. Kundenlebenszyklus</w:t>
      </w:r>
    </w:p>
    <w:p>
      <w:pPr>
        <w:pStyle w:val="ListBullet"/>
        <w:ind w:left="360" w:hanging="240"/>
      </w:pPr>
      <w:r>
        <w:t xml:space="preserve">• 13. Erweiterungen der Laufanlass-Applikation</w:t>
      </w:r>
    </w:p>
    <w:p>
      <w:pPr>
        <w:pStyle w:val="ListBullet"/>
        <w:ind w:left="360" w:hanging="240"/>
      </w:pPr>
      <w:r>
        <w:t xml:space="preserve">• 14. Dateien, Exporte und Veröffentlichungen</w:t>
      </w:r>
    </w:p>
    <w:p>
      <w:pPr>
        <w:pStyle w:val="ListBullet"/>
        <w:ind w:left="360" w:hanging="240"/>
      </w:pPr>
      <w:r>
        <w:t xml:space="preserve">• 15. Sicherheitskonzept</w:t>
      </w:r>
    </w:p>
    <w:p>
      <w:pPr>
        <w:pStyle w:val="ListBullet"/>
        <w:ind w:left="360" w:hanging="240"/>
      </w:pPr>
      <w:r>
        <w:t xml:space="preserve">• 16. Datenschutz und rechtliche Themen</w:t>
      </w:r>
    </w:p>
    <w:p>
      <w:pPr>
        <w:pStyle w:val="ListBullet"/>
        <w:ind w:left="360" w:hanging="240"/>
      </w:pPr>
      <w:r>
        <w:t xml:space="preserve">• 17. Hosting, Betrieb und Verfügbarkeit</w:t>
      </w:r>
    </w:p>
    <w:p>
      <w:pPr>
        <w:pStyle w:val="ListBullet"/>
        <w:ind w:left="360" w:hanging="240"/>
      </w:pPr>
      <w:r>
        <w:t xml:space="preserve">• 18. Backup und Wiederherstellung</w:t>
      </w:r>
    </w:p>
    <w:p>
      <w:pPr>
        <w:pStyle w:val="ListBullet"/>
        <w:ind w:left="360" w:hanging="240"/>
      </w:pPr>
      <w:r>
        <w:t xml:space="preserve">• 19. Monitoring, Protokollierung und Support</w:t>
      </w:r>
    </w:p>
    <w:p>
      <w:pPr>
        <w:pStyle w:val="ListBullet"/>
        <w:ind w:left="360" w:hanging="240"/>
      </w:pPr>
      <w:r>
        <w:t xml:space="preserve">• 20. Releases und Datenbankmigrationen</w:t>
      </w:r>
    </w:p>
    <w:p>
      <w:pPr>
        <w:pStyle w:val="ListBullet"/>
        <w:ind w:left="360" w:hanging="240"/>
      </w:pPr>
      <w:r>
        <w:t xml:space="preserve">• 21. Skalierung und Weiterentwicklung</w:t>
      </w:r>
    </w:p>
    <w:p>
      <w:pPr>
        <w:pStyle w:val="ListBullet"/>
        <w:ind w:left="360" w:hanging="240"/>
      </w:pPr>
      <w:r>
        <w:t xml:space="preserve">• 22. Produkt- und Preismodell</w:t>
      </w:r>
    </w:p>
    <w:p>
      <w:pPr>
        <w:pStyle w:val="ListBullet"/>
        <w:ind w:left="360" w:hanging="240"/>
      </w:pPr>
      <w:r>
        <w:t xml:space="preserve">• 23. Fehler- und Sonderfälle</w:t>
      </w:r>
    </w:p>
    <w:p>
      <w:pPr>
        <w:pStyle w:val="ListBullet"/>
        <w:ind w:left="360" w:hanging="240"/>
      </w:pPr>
      <w:r>
        <w:t xml:space="preserve">• 24. Test- und Qualitätssicherung</w:t>
      </w:r>
    </w:p>
    <w:p>
      <w:pPr>
        <w:pStyle w:val="ListBullet"/>
        <w:ind w:left="360" w:hanging="240"/>
      </w:pPr>
      <w:r>
        <w:t xml:space="preserve">• 25. Migration der bestehenden Anwendung</w:t>
      </w:r>
    </w:p>
    <w:p>
      <w:pPr>
        <w:pStyle w:val="ListBullet"/>
        <w:ind w:left="360" w:hanging="240"/>
      </w:pPr>
      <w:r>
        <w:t xml:space="preserve">• 26. Umsetzungsetappen und Aufwand</w:t>
      </w:r>
    </w:p>
    <w:p>
      <w:pPr>
        <w:pStyle w:val="ListBullet"/>
        <w:ind w:left="360" w:hanging="240"/>
      </w:pPr>
      <w:r>
        <w:t xml:space="preserve">• 27. Risiken und Gegenmassnahmen</w:t>
      </w:r>
    </w:p>
    <w:p>
      <w:pPr>
        <w:pStyle w:val="ListBullet"/>
        <w:ind w:left="360" w:hanging="240"/>
      </w:pPr>
      <w:r>
        <w:t xml:space="preserve">• 28. Offene Entscheide</w:t>
      </w:r>
    </w:p>
    <w:p>
      <w:pPr>
        <w:pStyle w:val="ListBullet"/>
        <w:ind w:left="360" w:hanging="240"/>
      </w:pPr>
      <w:r>
        <w:t xml:space="preserve">• 29. Abnahmekriterien</w:t>
      </w:r>
    </w:p>
    <w:p>
      <w:pPr>
        <w:pStyle w:val="ListBullet"/>
        <w:ind w:left="360" w:hanging="240"/>
      </w:pPr>
      <w:r>
        <w:t xml:space="preserve">• 30. Gesamtempfehlung</w:t>
      </w:r>
    </w:p>
    <w:p>
      <w:pPr>
        <w:pStyle w:val="ListBullet"/>
        <w:ind w:left="360" w:hanging="240"/>
      </w:pPr>
      <w:r>
        <w:t xml:space="preserve">• Anhang A–D: Datenmodell, Statusmodelle, Begriffe und Quellen</w:t>
      </w:r>
    </w:p>
    <w:p>
      <w:r>
        <w:br w:type="page"/>
      </w:r>
    </w:p>
    <w:p>
      <w:pPr>
        <w:pStyle w:val="Heading1"/>
        <w:keepNext/>
      </w:pPr>
      <w:r>
        <w:t xml:space="preserve">1. Management Summary</w:t>
      </w:r>
    </w:p>
    <w:p>
      <w:r>
        <w:t xml:space="preserve">Die bestehende Laufanlass-Applikation soll zu einem abonnierbaren Online-Dienst weiterentwickelt werden. Jeder Kunde – beispielsweise ein Sportverein, eine Gemeinde, eine Schule oder ein Organisationskomitee – erhält einen eigenen Zugang unter einer Subdomain wie «turnverein-winkel.laufapp.ch». Der Kunde kann dort seine Laufanlässe, Kategorien, Teilnehmenden, Zeiten, Finalisten, Ranglisten und Exporte verwalten.</w:t>
      </w:r>
    </w:p>
    <w:p>
      <w:r>
        <w:t xml:space="preserve">Die Subdomain ist dabei nicht gleichbedeutend mit einer technisch vollständig separaten Installation. Für das geplante Produkt wird eine gemeinsame, zentral aktualisierte Applikation empfohlen, während jeder Kunde eine eigene Datenbank und eine eigene Dateiablage erhält. Dieses Modell bietet eine starke und verständliche Datenisolation, ohne dass für jeden Kunden eine separate Kopie des Programmcodes betrieben und einzeln aktualisiert werden muss.</w:t>
      </w:r>
    </w:p>
    <w:p>
      <w:r>
        <w:t xml:space="preserve">Zusätzlich zur eigentlichen Laufanlass-Applikation wird eine zentrale Plattformebene benötigt. Sie verwaltet Kunden, Subdomains, Benutzerzuordnungen, Tarife, Abonnements, Zahlungsstatus, Bereitstellungsaufträge, Nutzungslimiten und Audit-Ereignisse. Die Laufdaten selbst verbleiben in der jeweiligen Kundendatenbank.</w:t>
      </w:r>
    </w:p>
    <w:p>
      <w:r>
        <w:t xml:space="preserve">Ein Wildcard-DNS-Eintrag für «*.laufapp.ch» führt alle Kundensubdomains zum gleichen Einstiegspunkt. Die Anwendung ermittelt anhand des geprüften Hostnamens den Kunden, kontrolliert dessen Status und verbindet sich erst danach mit der zugeordneten Kundendatenbank. Dadurch muss bei einem neuen Abo normalerweise kein einzelner DNS-Eintrag erzeugt werden; die Subdomain wird durch einen Datensatz in der Plattform freigeschaltet.</w:t>
      </w:r>
    </w:p>
    <w:p>
      <w:r>
        <w:t xml:space="preserve">Der empfohlene Ausbau erfolgt in Etappen. Zuerst werden Mandantenfähigkeit, Authentifizierung und eine manuelle Kundenbereitstellung eingeführt. Danach folgen automatisierte Provisionierung, Abonnementverwaltung, Zahlungs-Webhooks und Self-Service. Ein Pilot mit wenigen realen Veranstaltern sollte vor einer vollständig automatisierten Vermarktung stattfinden.</w:t>
      </w:r>
    </w:p>
    <w:p>
      <w:pPr>
        <w:shd w:val="clear" w:color="auto" w:fill="DDEBF7"/>
        <w:ind w:left="160" w:right="160"/>
      </w:pPr>
      <w:r>
        <w:rPr>
          <w:b/>
          <w:color w:val="176B87"/>
        </w:rPr>
        <w:t xml:space="preserve">Kernempfehlung: </w:t>
      </w:r>
      <w:r>
        <w:t xml:space="preserve">Eine gemeinsame Codebasis, eine zentrale Plattformdatenbank und je Kunde eine separate Laufdatenbank sowie Dateiablage. Subdomains werden über Wildcard-DNS bedient. Abrechnung und Zugriffsstatus werden ereignisbasiert synchronisiert.</w:t>
      </w:r>
    </w:p>
    <w:p>
      <w:pPr>
        <w:pStyle w:val="Heading1"/>
        <w:keepNext/>
      </w:pPr>
      <w:r>
        <w:t xml:space="preserve">2. Ausgangslage und Motivation</w:t>
      </w:r>
    </w:p>
    <w:p>
      <w:pPr>
        <w:pStyle w:val="Heading2"/>
        <w:keepNext/>
      </w:pPr>
      <w:r>
        <w:t xml:space="preserve">2.1 Bestehende fachliche Anwendung</w:t>
      </w:r>
    </w:p>
    <w:p>
      <w:r>
        <w:t xml:space="preserve">Die vorhandene Anwendung ist eine kompakte PHP-/LAMP-Webapplikation für die Durchführung von Laufanlässen. Sie enthält bereits zentrale Fachfunktionen wie Anlassverwaltung, Jahrgangsgruppen, Teilnehmendenerfassung, Laufzettelnummern, Qualifikationszeiten, Finalistenlogik, Finalzeiten, Ranglisten, PDF-/Druckansichten und CSV-Export. Die Daten werden in MariaDB beziehungsweise MySQL gespeichert.</w:t>
      </w:r>
    </w:p>
    <w:p>
      <w:r>
        <w:t xml:space="preserve">Für einen lokalen oder einzelnen gehosteten Einsatz ist dieses Modell ausreichend. Für einen kommerziellen SaaS-Betrieb fehlen jedoch eigenständige Kundenkonten, Benutzeranmeldung, Rollen, Mandantenauflösung, Aboverwaltung, automatisierte Bereitstellung, zentrale Administration, Betriebsüberwachung und ein kontrollierter Kundenlebenszyklus.</w:t>
      </w:r>
    </w:p>
    <w:p>
      <w:pPr>
        <w:pStyle w:val="Heading2"/>
        <w:keepNext/>
      </w:pPr>
      <w:r>
        <w:t xml:space="preserve">2.2 Geschäftliche Idee</w:t>
      </w:r>
    </w:p>
    <w:p>
      <w:r>
        <w:t xml:space="preserve">Kunden sollen die Anwendung abonnieren können. Nach Abschluss eines Abonnements erhält jeder Kunde einen eigenen Bereich unter einer eindeutigen Subdomain. Die Plattform soll den technischen Einrichtungsaufwand möglichst vollständig automatisieren und laufende Updates zentral ausrollen.</w:t>
      </w:r>
    </w:p>
    <w:p>
      <w:pPr>
        <w:pStyle w:val="ListBullet"/>
        <w:ind w:left="360" w:hanging="240"/>
      </w:pPr>
      <w:r>
        <w:t xml:space="preserve">• Wiederkehrende Einnahmen statt einzelner Installationsprojekte.</w:t>
      </w:r>
    </w:p>
    <w:p>
      <w:pPr>
        <w:pStyle w:val="ListBullet"/>
        <w:ind w:left="360" w:hanging="240"/>
      </w:pPr>
      <w:r>
        <w:t xml:space="preserve">• Einheitlicher Betrieb und eine gemeinsame, wartbare Produktversion.</w:t>
      </w:r>
    </w:p>
    <w:p>
      <w:pPr>
        <w:pStyle w:val="ListBullet"/>
        <w:ind w:left="360" w:hanging="240"/>
      </w:pPr>
      <w:r>
        <w:t xml:space="preserve">• Klare Trennung der Daten verschiedener Veranstalter.</w:t>
      </w:r>
    </w:p>
    <w:p>
      <w:pPr>
        <w:pStyle w:val="ListBullet"/>
        <w:ind w:left="360" w:hanging="240"/>
      </w:pPr>
      <w:r>
        <w:t xml:space="preserve">• Schnelle Bereitstellung eines neuen Kunden ohne manuelle Serverkonfiguration.</w:t>
      </w:r>
    </w:p>
    <w:p>
      <w:pPr>
        <w:pStyle w:val="ListBullet"/>
        <w:ind w:left="360" w:hanging="240"/>
      </w:pPr>
      <w:r>
        <w:t xml:space="preserve">• Option für unterschiedliche Tarife, Nutzungslimiten und Zusatzleistungen.</w:t>
      </w:r>
    </w:p>
    <w:p>
      <w:pPr>
        <w:pStyle w:val="ListBullet"/>
        <w:ind w:left="360" w:hanging="240"/>
      </w:pPr>
      <w:r>
        <w:t xml:space="preserve">• Langfristig mögliche Erweiterung um eigene Domains, zusätzliche Veranstaltungsformen oder Enterprise-Isolation.</w:t>
      </w:r>
    </w:p>
    <w:p>
      <w:pPr>
        <w:pStyle w:val="Heading2"/>
        <w:keepNext/>
      </w:pPr>
      <w:r>
        <w:t xml:space="preserve">2.3 Besondere Rahmenbedingungen von Laufanlässen</w:t>
      </w:r>
    </w:p>
    <w:p>
      <w:r>
        <w:t xml:space="preserve">Die Anwendung wird nicht nur im Büro, sondern während eines zeitkritischen Anlasses eingesetzt. Ein Ausfall während der Zeitmessung oder Finalerfassung hat eine andere Wirkung als ein kurzfristiger Ausfall einer gewöhnlichen Verwaltungssoftware. Verfügbarkeit, einfache Bedienung, nachvollziehbare Änderungen, schnelle Wiederherstellung und ein organisatorischer Notfallplan haben deshalb hohe Priorität.</w:t>
      </w:r>
    </w:p>
    <w:p>
      <w:r>
        <w:t xml:space="preserve">Zudem werden Personendaten verarbeitet, häufig auch Daten von Minderjährigen. Dazu gehören Namen, Jahrgang, Geschlecht, Schulklasse, Wohnort und sportliche Resultate. Das Produkt muss deshalb von Beginn an datensparsam, zugriffsgeschützt und mandantensicher entworfen werden.</w:t>
      </w:r>
    </w:p>
    <w:p>
      <w:pPr>
        <w:pStyle w:val="Heading1"/>
        <w:keepNext/>
      </w:pPr>
      <w:r>
        <w:t xml:space="preserve">3. Zielbild und Abgrenzung</w:t>
      </w:r>
    </w:p>
    <w:p>
      <w:pPr>
        <w:pStyle w:val="Heading2"/>
        <w:keepNext/>
      </w:pPr>
      <w:r>
        <w:t xml:space="preserve">3.1 Zielbild</w:t>
      </w:r>
    </w:p>
    <w:p>
      <w:r>
        <w:t xml:space="preserve">Ein Interessent besucht die öffentliche Produktseite, wählt einen Tarif, registriert eine Organisation, reserviert eine Subdomain und schliesst ein Abonnement ab. Nach bestätigter Zahlung wird der Kundenbereich automatisch bereitgestellt. Der Erstbenutzer erhält die Rolle «Inhaber» und kann weitere Mitarbeitende einladen. Alle fachlichen Funktionen werden im Kundenbereich ausgeführt.</w:t>
      </w:r>
    </w:p>
    <w:p>
      <w:pPr>
        <w:pStyle w:val="Code"/>
        <w:spacing w:after="0"/>
        <w:shd w:val="clear" w:color="auto" w:fill="F3F5F7"/>
        <w:ind w:left="160" w:right="160"/>
      </w:pPr>
      <w:r>
        <w:rPr>
          <w:rFonts w:ascii="Consolas" w:hAnsi="Consolas"/>
        </w:rPr>
        <w:t xml:space="preserve">Öffentliche Website          www.laufapp.ch</w:t>
      </w:r>
    </w:p>
    <w:p>
      <w:pPr>
        <w:pStyle w:val="Code"/>
        <w:spacing w:after="0"/>
        <w:shd w:val="clear" w:color="auto" w:fill="F3F5F7"/>
        <w:ind w:left="160" w:right="160"/>
      </w:pPr>
      <w:r>
        <w:rPr>
          <w:rFonts w:ascii="Consolas" w:hAnsi="Consolas"/>
        </w:rPr>
        <w:t xml:space="preserve">Plattformadministration      admin.laufapp.ch</w:t>
      </w:r>
    </w:p>
    <w:p>
      <w:pPr>
        <w:pStyle w:val="Code"/>
        <w:spacing w:after="0"/>
        <w:shd w:val="clear" w:color="auto" w:fill="F3F5F7"/>
        <w:ind w:left="160" w:right="160"/>
      </w:pPr>
      <w:r>
        <w:rPr>
          <w:rFonts w:ascii="Consolas" w:hAnsi="Consolas"/>
        </w:rPr>
        <w:t xml:space="preserve">Kundenbereich A              turnverein-winkel.laufapp.ch</w:t>
      </w:r>
    </w:p>
    <w:p>
      <w:pPr>
        <w:pStyle w:val="Code"/>
        <w:spacing w:after="0"/>
        <w:shd w:val="clear" w:color="auto" w:fill="F3F5F7"/>
        <w:ind w:left="160" w:right="160"/>
      </w:pPr>
      <w:r>
        <w:rPr>
          <w:rFonts w:ascii="Consolas" w:hAnsi="Consolas"/>
        </w:rPr>
        <w:t xml:space="preserve">Kundenbereich B              schule-muster.laufapp.ch</w:t>
      </w:r>
    </w:p>
    <w:p>
      <w:pPr>
        <w:pStyle w:val="Code"/>
        <w:spacing w:after="0"/>
        <w:shd w:val="clear" w:color="auto" w:fill="F3F5F7"/>
        <w:ind w:left="160" w:right="160"/>
      </w:pPr>
      <w:r>
        <w:rPr>
          <w:rFonts w:ascii="Consolas" w:hAnsi="Consolas"/>
        </w:rPr>
        <w:t xml:space="preserve">Technische Schnittstelle     api.laufapp.ch  (spätere Option)</w:t>
      </w:r>
    </w:p>
    <w:p>
      <w:pPr>
        <w:spacing w:after="60"/>
      </w:pPr>
      <w:r>
        <w:t xml:space="preserve"/>
      </w:r>
    </w:p>
    <w:p>
      <w:pPr>
        <w:pStyle w:val="Heading2"/>
        <w:keepNext/>
      </w:pPr>
      <w:r>
        <w:t xml:space="preserve">3.2 Ziele der ersten Produktversion</w:t>
      </w:r>
    </w:p>
    <w:p>
      <w:pPr>
        <w:pStyle w:val="ListBullet"/>
        <w:ind w:left="360" w:hanging="240"/>
      </w:pPr>
      <w:r>
        <w:t xml:space="preserve">• Mehrere Kunden sicher auf einer zentral betriebenen Plattform bedienen.</w:t>
      </w:r>
    </w:p>
    <w:p>
      <w:pPr>
        <w:pStyle w:val="ListBullet"/>
        <w:ind w:left="360" w:hanging="240"/>
      </w:pPr>
      <w:r>
        <w:t xml:space="preserve">• Je Kunde eine eigene, eindeutige Subdomain bereitstellen.</w:t>
      </w:r>
    </w:p>
    <w:p>
      <w:pPr>
        <w:pStyle w:val="ListBullet"/>
        <w:ind w:left="360" w:hanging="240"/>
      </w:pPr>
      <w:r>
        <w:t xml:space="preserve">• Kundendaten technisch und organisatorisch voneinander isolieren.</w:t>
      </w:r>
    </w:p>
    <w:p>
      <w:pPr>
        <w:pStyle w:val="ListBullet"/>
        <w:ind w:left="360" w:hanging="240"/>
      </w:pPr>
      <w:r>
        <w:t xml:space="preserve">• Benutzer mit Rollen und nachvollziehbaren Berechtigungen verwalten.</w:t>
      </w:r>
    </w:p>
    <w:p>
      <w:pPr>
        <w:pStyle w:val="ListBullet"/>
        <w:ind w:left="360" w:hanging="240"/>
      </w:pPr>
      <w:r>
        <w:t xml:space="preserve">• Abonnements und Zahlungsstatus automatisiert verarbeiten.</w:t>
      </w:r>
    </w:p>
    <w:p>
      <w:pPr>
        <w:pStyle w:val="ListBullet"/>
        <w:ind w:left="360" w:hanging="240"/>
      </w:pPr>
      <w:r>
        <w:t xml:space="preserve">• Neue Kunden wiederholbar und fehlertolerant provisionieren.</w:t>
      </w:r>
    </w:p>
    <w:p>
      <w:pPr>
        <w:pStyle w:val="ListBullet"/>
        <w:ind w:left="360" w:hanging="240"/>
      </w:pPr>
      <w:r>
        <w:t xml:space="preserve">• Backups, Wiederherstellung, Monitoring und Supportfähigkeit sicherstellen.</w:t>
      </w:r>
    </w:p>
    <w:p>
      <w:pPr>
        <w:pStyle w:val="ListBullet"/>
        <w:ind w:left="360" w:hanging="240"/>
      </w:pPr>
      <w:r>
        <w:t xml:space="preserve">• Bestehende Fachfunktionen ohne kundenspezifische Codekopien weiterentwickeln.</w:t>
      </w:r>
    </w:p>
    <w:p>
      <w:pPr>
        <w:pStyle w:val="Heading2"/>
        <w:keepNext/>
      </w:pPr>
      <w:r>
        <w:t xml:space="preserve">3.3 Bewusste Nicht-Ziele des MVP</w:t>
      </w:r>
    </w:p>
    <w:p>
      <w:pPr>
        <w:pStyle w:val="ListBullet"/>
        <w:ind w:left="360" w:hanging="240"/>
      </w:pPr>
      <w:r>
        <w:t xml:space="preserve">• Keine eigene Codekopie und keine individuelle Softwareversion pro Kunde.</w:t>
      </w:r>
    </w:p>
    <w:p>
      <w:pPr>
        <w:pStyle w:val="ListBullet"/>
        <w:ind w:left="360" w:hanging="240"/>
      </w:pPr>
      <w:r>
        <w:t xml:space="preserve">• Keine frei programmierbaren kundenspezifischen Fachprozesse.</w:t>
      </w:r>
    </w:p>
    <w:p>
      <w:pPr>
        <w:pStyle w:val="ListBullet"/>
        <w:ind w:left="360" w:hanging="240"/>
      </w:pPr>
      <w:r>
        <w:t xml:space="preserve">• Keine native Mobil-App.</w:t>
      </w:r>
    </w:p>
    <w:p>
      <w:pPr>
        <w:pStyle w:val="ListBullet"/>
        <w:ind w:left="360" w:hanging="240"/>
      </w:pPr>
      <w:r>
        <w:t xml:space="preserve">• Kein vollständiger Offlinebetrieb oder automatische Synchronisation mit lokalen Geräten.</w:t>
      </w:r>
    </w:p>
    <w:p>
      <w:pPr>
        <w:pStyle w:val="ListBullet"/>
        <w:ind w:left="360" w:hanging="240"/>
      </w:pPr>
      <w:r>
        <w:t xml:space="preserve">• Keine kundeneigenen Domains in der ersten Version; nur Subdomains der Plattform.</w:t>
      </w:r>
    </w:p>
    <w:p>
      <w:pPr>
        <w:pStyle w:val="ListBullet"/>
        <w:ind w:left="360" w:hanging="240"/>
      </w:pPr>
      <w:r>
        <w:t xml:space="preserve">• Keine hochkomplexe nutzungsabhängige Abrechnung in der ersten Version.</w:t>
      </w:r>
    </w:p>
    <w:p>
      <w:pPr>
        <w:pStyle w:val="ListBullet"/>
        <w:ind w:left="360" w:hanging="240"/>
      </w:pPr>
      <w:r>
        <w:t xml:space="preserve">• Kein Kubernetes- oder Microservice-Zwang; die Lösung soll der tatsächlichen Grösse angemessen bleiben.</w:t>
      </w:r>
    </w:p>
    <w:p>
      <w:pPr>
        <w:pStyle w:val="Heading1"/>
        <w:keepNext/>
      </w:pPr>
      <w:r>
        <w:t xml:space="preserve">4. Anforderungen</w:t>
      </w:r>
    </w:p>
    <w:p>
      <w:pPr>
        <w:pStyle w:val="Heading2"/>
        <w:keepNext/>
      </w:pPr>
      <w:r>
        <w:t xml:space="preserve">4.1 Fachliche Muss-Anforderungen</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900"/>
        <w:gridCol w:w="4500"/>
        <w:gridCol w:w="4100"/>
      </w:tblGrid>
      <w:tr>
        <w:tc>
          <w:tcPr>
            <w:tcW w:w="900" w:type="dxa"/>
            <w:shd w:val="clear" w:color="auto" w:fill="DDEBF7"/>
            <w:vAlign w:val="top"/>
          </w:tcPr>
          <w:p>
            <w:pPr>
              <w:spacing w:after="40"/>
            </w:pPr>
            <w:r>
              <w:rPr>
                <w:b/>
              </w:rPr>
              <w:t xml:space="preserve">ID</w:t>
            </w:r>
          </w:p>
        </w:tc>
        <w:tc>
          <w:tcPr>
            <w:tcW w:w="4500" w:type="dxa"/>
            <w:shd w:val="clear" w:color="auto" w:fill="DDEBF7"/>
            <w:vAlign w:val="top"/>
          </w:tcPr>
          <w:p>
            <w:pPr>
              <w:spacing w:after="40"/>
            </w:pPr>
            <w:r>
              <w:rPr>
                <w:b/>
              </w:rPr>
              <w:t xml:space="preserve">Anforderung</w:t>
            </w:r>
          </w:p>
        </w:tc>
        <w:tc>
          <w:tcPr>
            <w:tcW w:w="4100" w:type="dxa"/>
            <w:shd w:val="clear" w:color="auto" w:fill="DDEBF7"/>
            <w:vAlign w:val="top"/>
          </w:tcPr>
          <w:p>
            <w:pPr>
              <w:spacing w:after="40"/>
            </w:pPr>
            <w:r>
              <w:rPr>
                <w:b/>
              </w:rPr>
              <w:t xml:space="preserve">Begründung</w:t>
            </w:r>
          </w:p>
        </w:tc>
      </w:tr>
      <w:tr>
        <w:tc>
          <w:tcPr>
            <w:tcW w:w="900" w:type="dxa"/>
            <w:vAlign w:val="top"/>
          </w:tcPr>
          <w:p>
            <w:pPr>
              <w:spacing w:after="40"/>
            </w:pPr>
            <w:r>
              <w:t xml:space="preserve">F-01</w:t>
            </w:r>
          </w:p>
        </w:tc>
        <w:tc>
          <w:tcPr>
            <w:tcW w:w="4500" w:type="dxa"/>
            <w:vAlign w:val="top"/>
          </w:tcPr>
          <w:p>
            <w:pPr>
              <w:spacing w:after="40"/>
            </w:pPr>
            <w:r>
              <w:t xml:space="preserve">Organisation/Kunde registrieren und eindeutig identifizieren</w:t>
            </w:r>
          </w:p>
        </w:tc>
        <w:tc>
          <w:tcPr>
            <w:tcW w:w="4100" w:type="dxa"/>
            <w:vAlign w:val="top"/>
          </w:tcPr>
          <w:p>
            <w:pPr>
              <w:spacing w:after="40"/>
            </w:pPr>
            <w:r>
              <w:t xml:space="preserve">Grundlage jeder Mandantentrennung</w:t>
            </w:r>
          </w:p>
        </w:tc>
      </w:tr>
      <w:tr>
        <w:tc>
          <w:tcPr>
            <w:tcW w:w="900" w:type="dxa"/>
            <w:vAlign w:val="top"/>
          </w:tcPr>
          <w:p>
            <w:pPr>
              <w:spacing w:after="40"/>
            </w:pPr>
            <w:r>
              <w:t xml:space="preserve">F-02</w:t>
            </w:r>
          </w:p>
        </w:tc>
        <w:tc>
          <w:tcPr>
            <w:tcW w:w="4500" w:type="dxa"/>
            <w:vAlign w:val="top"/>
          </w:tcPr>
          <w:p>
            <w:pPr>
              <w:spacing w:after="40"/>
            </w:pPr>
            <w:r>
              <w:t xml:space="preserve">Eindeutige Subdomain wählen, prüfen und reservieren</w:t>
            </w:r>
          </w:p>
        </w:tc>
        <w:tc>
          <w:tcPr>
            <w:tcW w:w="4100" w:type="dxa"/>
            <w:vAlign w:val="top"/>
          </w:tcPr>
          <w:p>
            <w:pPr>
              <w:spacing w:after="40"/>
            </w:pPr>
            <w:r>
              <w:t xml:space="preserve">Kundenzugang und Markenwirkung</w:t>
            </w:r>
          </w:p>
        </w:tc>
      </w:tr>
      <w:tr>
        <w:tc>
          <w:tcPr>
            <w:tcW w:w="900" w:type="dxa"/>
            <w:vAlign w:val="top"/>
          </w:tcPr>
          <w:p>
            <w:pPr>
              <w:spacing w:after="40"/>
            </w:pPr>
            <w:r>
              <w:t xml:space="preserve">F-03</w:t>
            </w:r>
          </w:p>
        </w:tc>
        <w:tc>
          <w:tcPr>
            <w:tcW w:w="4500" w:type="dxa"/>
            <w:vAlign w:val="top"/>
          </w:tcPr>
          <w:p>
            <w:pPr>
              <w:spacing w:after="40"/>
            </w:pPr>
            <w:r>
              <w:t xml:space="preserve">Abo abschliessen, verlängern, ändern und kündigen</w:t>
            </w:r>
          </w:p>
        </w:tc>
        <w:tc>
          <w:tcPr>
            <w:tcW w:w="4100" w:type="dxa"/>
            <w:vAlign w:val="top"/>
          </w:tcPr>
          <w:p>
            <w:pPr>
              <w:spacing w:after="40"/>
            </w:pPr>
            <w:r>
              <w:t xml:space="preserve">Geschäftsmodell</w:t>
            </w:r>
          </w:p>
        </w:tc>
      </w:tr>
      <w:tr>
        <w:tc>
          <w:tcPr>
            <w:tcW w:w="900" w:type="dxa"/>
            <w:vAlign w:val="top"/>
          </w:tcPr>
          <w:p>
            <w:pPr>
              <w:spacing w:after="40"/>
            </w:pPr>
            <w:r>
              <w:t xml:space="preserve">F-04</w:t>
            </w:r>
          </w:p>
        </w:tc>
        <w:tc>
          <w:tcPr>
            <w:tcW w:w="4500" w:type="dxa"/>
            <w:vAlign w:val="top"/>
          </w:tcPr>
          <w:p>
            <w:pPr>
              <w:spacing w:after="40"/>
            </w:pPr>
            <w:r>
              <w:t xml:space="preserve">Kundendatenbank und Dateiablage automatisch bereitstellen</w:t>
            </w:r>
          </w:p>
        </w:tc>
        <w:tc>
          <w:tcPr>
            <w:tcW w:w="4100" w:type="dxa"/>
            <w:vAlign w:val="top"/>
          </w:tcPr>
          <w:p>
            <w:pPr>
              <w:spacing w:after="40"/>
            </w:pPr>
            <w:r>
              <w:t xml:space="preserve">Skalierbares Onboarding</w:t>
            </w:r>
          </w:p>
        </w:tc>
      </w:tr>
      <w:tr>
        <w:tc>
          <w:tcPr>
            <w:tcW w:w="900" w:type="dxa"/>
            <w:vAlign w:val="top"/>
          </w:tcPr>
          <w:p>
            <w:pPr>
              <w:spacing w:after="40"/>
            </w:pPr>
            <w:r>
              <w:t xml:space="preserve">F-05</w:t>
            </w:r>
          </w:p>
        </w:tc>
        <w:tc>
          <w:tcPr>
            <w:tcW w:w="4500" w:type="dxa"/>
            <w:vAlign w:val="top"/>
          </w:tcPr>
          <w:p>
            <w:pPr>
              <w:spacing w:after="40"/>
            </w:pPr>
            <w:r>
              <w:t xml:space="preserve">Benutzer einladen, Rollen vergeben und Zugriffe entziehen</w:t>
            </w:r>
          </w:p>
        </w:tc>
        <w:tc>
          <w:tcPr>
            <w:tcW w:w="4100" w:type="dxa"/>
            <w:vAlign w:val="top"/>
          </w:tcPr>
          <w:p>
            <w:pPr>
              <w:spacing w:after="40"/>
            </w:pPr>
            <w:r>
              <w:t xml:space="preserve">Sicherer Teamzugriff</w:t>
            </w:r>
          </w:p>
        </w:tc>
      </w:tr>
      <w:tr>
        <w:tc>
          <w:tcPr>
            <w:tcW w:w="900" w:type="dxa"/>
            <w:vAlign w:val="top"/>
          </w:tcPr>
          <w:p>
            <w:pPr>
              <w:spacing w:after="40"/>
            </w:pPr>
            <w:r>
              <w:t xml:space="preserve">F-06</w:t>
            </w:r>
          </w:p>
        </w:tc>
        <w:tc>
          <w:tcPr>
            <w:tcW w:w="4500" w:type="dxa"/>
            <w:vAlign w:val="top"/>
          </w:tcPr>
          <w:p>
            <w:pPr>
              <w:spacing w:after="40"/>
            </w:pPr>
            <w:r>
              <w:t xml:space="preserve">Mehrere Laufanlässe je Kunde verwalten</w:t>
            </w:r>
          </w:p>
        </w:tc>
        <w:tc>
          <w:tcPr>
            <w:tcW w:w="4100" w:type="dxa"/>
            <w:vAlign w:val="top"/>
          </w:tcPr>
          <w:p>
            <w:pPr>
              <w:spacing w:after="40"/>
            </w:pPr>
            <w:r>
              <w:t xml:space="preserve">Wiederkehrende Nutzung des Abos</w:t>
            </w:r>
          </w:p>
        </w:tc>
      </w:tr>
      <w:tr>
        <w:tc>
          <w:tcPr>
            <w:tcW w:w="900" w:type="dxa"/>
            <w:vAlign w:val="top"/>
          </w:tcPr>
          <w:p>
            <w:pPr>
              <w:spacing w:after="40"/>
            </w:pPr>
            <w:r>
              <w:t xml:space="preserve">F-07</w:t>
            </w:r>
          </w:p>
        </w:tc>
        <w:tc>
          <w:tcPr>
            <w:tcW w:w="4500" w:type="dxa"/>
            <w:vAlign w:val="top"/>
          </w:tcPr>
          <w:p>
            <w:pPr>
              <w:spacing w:after="40"/>
            </w:pPr>
            <w:r>
              <w:t xml:space="preserve">Nutzungslimiten je Tarif prüfen</w:t>
            </w:r>
          </w:p>
        </w:tc>
        <w:tc>
          <w:tcPr>
            <w:tcW w:w="4100" w:type="dxa"/>
            <w:vAlign w:val="top"/>
          </w:tcPr>
          <w:p>
            <w:pPr>
              <w:spacing w:after="40"/>
            </w:pPr>
            <w:r>
              <w:t xml:space="preserve">Tarifdurchsetzung</w:t>
            </w:r>
          </w:p>
        </w:tc>
      </w:tr>
      <w:tr>
        <w:tc>
          <w:tcPr>
            <w:tcW w:w="900" w:type="dxa"/>
            <w:vAlign w:val="top"/>
          </w:tcPr>
          <w:p>
            <w:pPr>
              <w:spacing w:after="40"/>
            </w:pPr>
            <w:r>
              <w:t xml:space="preserve">F-08</w:t>
            </w:r>
          </w:p>
        </w:tc>
        <w:tc>
          <w:tcPr>
            <w:tcW w:w="4500" w:type="dxa"/>
            <w:vAlign w:val="top"/>
          </w:tcPr>
          <w:p>
            <w:pPr>
              <w:spacing w:after="40"/>
            </w:pPr>
            <w:r>
              <w:t xml:space="preserve">Daten exportieren und Kundenkonto geordnet auflösen</w:t>
            </w:r>
          </w:p>
        </w:tc>
        <w:tc>
          <w:tcPr>
            <w:tcW w:w="4100" w:type="dxa"/>
            <w:vAlign w:val="top"/>
          </w:tcPr>
          <w:p>
            <w:pPr>
              <w:spacing w:after="40"/>
            </w:pPr>
            <w:r>
              <w:t xml:space="preserve">Portabilität und Datenschutz</w:t>
            </w:r>
          </w:p>
        </w:tc>
      </w:tr>
      <w:tr>
        <w:tc>
          <w:tcPr>
            <w:tcW w:w="900" w:type="dxa"/>
            <w:vAlign w:val="top"/>
          </w:tcPr>
          <w:p>
            <w:pPr>
              <w:spacing w:after="40"/>
            </w:pPr>
            <w:r>
              <w:t xml:space="preserve">F-09</w:t>
            </w:r>
          </w:p>
        </w:tc>
        <w:tc>
          <w:tcPr>
            <w:tcW w:w="4500" w:type="dxa"/>
            <w:vAlign w:val="top"/>
          </w:tcPr>
          <w:p>
            <w:pPr>
              <w:spacing w:after="40"/>
            </w:pPr>
            <w:r>
              <w:t xml:space="preserve">Plattformbetrieb zentral administrieren</w:t>
            </w:r>
          </w:p>
        </w:tc>
        <w:tc>
          <w:tcPr>
            <w:tcW w:w="4100" w:type="dxa"/>
            <w:vAlign w:val="top"/>
          </w:tcPr>
          <w:p>
            <w:pPr>
              <w:spacing w:after="40"/>
            </w:pPr>
            <w:r>
              <w:t xml:space="preserve">Support und Betrieb</w:t>
            </w:r>
          </w:p>
        </w:tc>
      </w:tr>
      <w:tr>
        <w:tc>
          <w:tcPr>
            <w:tcW w:w="900" w:type="dxa"/>
            <w:vAlign w:val="top"/>
          </w:tcPr>
          <w:p>
            <w:pPr>
              <w:spacing w:after="40"/>
            </w:pPr>
            <w:r>
              <w:t xml:space="preserve">F-10</w:t>
            </w:r>
          </w:p>
        </w:tc>
        <w:tc>
          <w:tcPr>
            <w:tcW w:w="4500" w:type="dxa"/>
            <w:vAlign w:val="top"/>
          </w:tcPr>
          <w:p>
            <w:pPr>
              <w:spacing w:after="40"/>
            </w:pPr>
            <w:r>
              <w:t xml:space="preserve">Sicherheits- und fachliche Änderungen protokollieren</w:t>
            </w:r>
          </w:p>
        </w:tc>
        <w:tc>
          <w:tcPr>
            <w:tcW w:w="4100" w:type="dxa"/>
            <w:vAlign w:val="top"/>
          </w:tcPr>
          <w:p>
            <w:pPr>
              <w:spacing w:after="40"/>
            </w:pPr>
            <w:r>
              <w:t xml:space="preserve">Nachvollziehbarkeit</w:t>
            </w:r>
          </w:p>
        </w:tc>
      </w:tr>
    </w:tbl>
    <w:p>
      <w:pPr>
        <w:spacing w:after="40"/>
      </w:pPr>
      <w:r>
        <w:t xml:space="preserve"/>
      </w:r>
    </w:p>
    <w:p>
      <w:pPr>
        <w:pStyle w:val="Heading2"/>
        <w:keepNext/>
      </w:pPr>
      <w:r>
        <w:t xml:space="preserve">4.2 Nichtfunktionale Anforderungen</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200"/>
        <w:gridCol w:w="7300"/>
      </w:tblGrid>
      <w:tr>
        <w:tc>
          <w:tcPr>
            <w:tcW w:w="2200" w:type="dxa"/>
            <w:shd w:val="clear" w:color="auto" w:fill="DDEBF7"/>
            <w:vAlign w:val="top"/>
          </w:tcPr>
          <w:p>
            <w:pPr>
              <w:spacing w:after="40"/>
            </w:pPr>
            <w:r>
              <w:rPr>
                <w:b/>
              </w:rPr>
              <w:t xml:space="preserve">Bereich</w:t>
            </w:r>
          </w:p>
        </w:tc>
        <w:tc>
          <w:tcPr>
            <w:tcW w:w="7300" w:type="dxa"/>
            <w:shd w:val="clear" w:color="auto" w:fill="DDEBF7"/>
            <w:vAlign w:val="top"/>
          </w:tcPr>
          <w:p>
            <w:pPr>
              <w:spacing w:after="40"/>
            </w:pPr>
            <w:r>
              <w:rPr>
                <w:b/>
              </w:rPr>
              <w:t xml:space="preserve">Zielanforderung für die erste Produktionsversion</w:t>
            </w:r>
          </w:p>
        </w:tc>
      </w:tr>
      <w:tr>
        <w:tc>
          <w:tcPr>
            <w:tcW w:w="2200" w:type="dxa"/>
            <w:vAlign w:val="top"/>
          </w:tcPr>
          <w:p>
            <w:pPr>
              <w:spacing w:after="40"/>
            </w:pPr>
            <w:r>
              <w:t xml:space="preserve">Mandantenisolation</w:t>
            </w:r>
          </w:p>
        </w:tc>
        <w:tc>
          <w:tcPr>
            <w:tcW w:w="7300" w:type="dxa"/>
            <w:vAlign w:val="top"/>
          </w:tcPr>
          <w:p>
            <w:pPr>
              <w:spacing w:after="40"/>
            </w:pPr>
            <w:r>
              <w:t xml:space="preserve">Kein Request und kein Hintergrundauftrag darf Daten eines anderen Kunden lesen oder verändern.</w:t>
            </w:r>
          </w:p>
        </w:tc>
      </w:tr>
      <w:tr>
        <w:tc>
          <w:tcPr>
            <w:tcW w:w="2200" w:type="dxa"/>
            <w:vAlign w:val="top"/>
          </w:tcPr>
          <w:p>
            <w:pPr>
              <w:spacing w:after="40"/>
            </w:pPr>
            <w:r>
              <w:t xml:space="preserve">Verfügbarkeit</w:t>
            </w:r>
          </w:p>
        </w:tc>
        <w:tc>
          <w:tcPr>
            <w:tcW w:w="7300" w:type="dxa"/>
            <w:vAlign w:val="top"/>
          </w:tcPr>
          <w:p>
            <w:pPr>
              <w:spacing w:after="40"/>
            </w:pPr>
            <w:r>
              <w:t xml:space="preserve">Vorgeschlagenes Ziel 99,5 % monatlich; geplante Wartungen klar kommunizieren. Für Veranstaltungstage ist ein höherer operativer Schutz nötig.</w:t>
            </w:r>
          </w:p>
        </w:tc>
      </w:tr>
      <w:tr>
        <w:tc>
          <w:tcPr>
            <w:tcW w:w="2200" w:type="dxa"/>
            <w:vAlign w:val="top"/>
          </w:tcPr>
          <w:p>
            <w:pPr>
              <w:spacing w:after="40"/>
            </w:pPr>
            <w:r>
              <w:t xml:space="preserve">Performance</w:t>
            </w:r>
          </w:p>
        </w:tc>
        <w:tc>
          <w:tcPr>
            <w:tcW w:w="7300" w:type="dxa"/>
            <w:vAlign w:val="top"/>
          </w:tcPr>
          <w:p>
            <w:pPr>
              <w:spacing w:after="40"/>
            </w:pPr>
            <w:r>
              <w:t xml:space="preserve">Normale Seitenaufrufe unter typischer Last möglichst unter 2 Sekunden; Zeiterfassung muss unmittelbar reagieren.</w:t>
            </w:r>
          </w:p>
        </w:tc>
      </w:tr>
      <w:tr>
        <w:tc>
          <w:tcPr>
            <w:tcW w:w="2200" w:type="dxa"/>
            <w:vAlign w:val="top"/>
          </w:tcPr>
          <w:p>
            <w:pPr>
              <w:spacing w:after="40"/>
            </w:pPr>
            <w:r>
              <w:t xml:space="preserve">Wiederherstellung</w:t>
            </w:r>
          </w:p>
        </w:tc>
        <w:tc>
          <w:tcPr>
            <w:tcW w:w="7300" w:type="dxa"/>
            <w:vAlign w:val="top"/>
          </w:tcPr>
          <w:p>
            <w:pPr>
              <w:spacing w:after="40"/>
            </w:pPr>
            <w:r>
              <w:t xml:space="preserve">Vorgeschlagen: RPO höchstens 15 Minuten und RTO höchstens 4 Stunden; vor Markteinführung verbindlich festlegen.</w:t>
            </w:r>
          </w:p>
        </w:tc>
      </w:tr>
      <w:tr>
        <w:tc>
          <w:tcPr>
            <w:tcW w:w="2200" w:type="dxa"/>
            <w:vAlign w:val="top"/>
          </w:tcPr>
          <w:p>
            <w:pPr>
              <w:spacing w:after="40"/>
            </w:pPr>
            <w:r>
              <w:t xml:space="preserve">Sicherheit</w:t>
            </w:r>
          </w:p>
        </w:tc>
        <w:tc>
          <w:tcPr>
            <w:tcW w:w="7300" w:type="dxa"/>
            <w:vAlign w:val="top"/>
          </w:tcPr>
          <w:p>
            <w:pPr>
              <w:spacing w:after="40"/>
            </w:pPr>
            <w:r>
              <w:t xml:space="preserve">HTTPS, sichere Sitzungen, Rollenprüfung, CSRF-Schutz, Rate Limiting, sichere Passwortspeicherung und Auditierung.</w:t>
            </w:r>
          </w:p>
        </w:tc>
      </w:tr>
      <w:tr>
        <w:tc>
          <w:tcPr>
            <w:tcW w:w="2200" w:type="dxa"/>
            <w:vAlign w:val="top"/>
          </w:tcPr>
          <w:p>
            <w:pPr>
              <w:spacing w:after="40"/>
            </w:pPr>
            <w:r>
              <w:t xml:space="preserve">Wartbarkeit</w:t>
            </w:r>
          </w:p>
        </w:tc>
        <w:tc>
          <w:tcPr>
            <w:tcW w:w="7300" w:type="dxa"/>
            <w:vAlign w:val="top"/>
          </w:tcPr>
          <w:p>
            <w:pPr>
              <w:spacing w:after="40"/>
            </w:pPr>
            <w:r>
              <w:t xml:space="preserve">Eine gemeinsame Codebasis; automatisierte Tests und Migrationen; keine manuellen Kunden-Patches.</w:t>
            </w:r>
          </w:p>
        </w:tc>
      </w:tr>
      <w:tr>
        <w:tc>
          <w:tcPr>
            <w:tcW w:w="2200" w:type="dxa"/>
            <w:vAlign w:val="top"/>
          </w:tcPr>
          <w:p>
            <w:pPr>
              <w:spacing w:after="40"/>
            </w:pPr>
            <w:r>
              <w:t xml:space="preserve">Portabilität</w:t>
            </w:r>
          </w:p>
        </w:tc>
        <w:tc>
          <w:tcPr>
            <w:tcW w:w="7300" w:type="dxa"/>
            <w:vAlign w:val="top"/>
          </w:tcPr>
          <w:p>
            <w:pPr>
              <w:spacing w:after="40"/>
            </w:pPr>
            <w:r>
              <w:t xml:space="preserve">Strukturierter Datenexport pro Kunde und dokumentierter Wiederherstellungsprozess.</w:t>
            </w:r>
          </w:p>
        </w:tc>
      </w:tr>
      <w:tr>
        <w:tc>
          <w:tcPr>
            <w:tcW w:w="2200" w:type="dxa"/>
            <w:vAlign w:val="top"/>
          </w:tcPr>
          <w:p>
            <w:pPr>
              <w:spacing w:after="40"/>
            </w:pPr>
            <w:r>
              <w:t xml:space="preserve">Datenschutz</w:t>
            </w:r>
          </w:p>
        </w:tc>
        <w:tc>
          <w:tcPr>
            <w:tcW w:w="7300" w:type="dxa"/>
            <w:vAlign w:val="top"/>
          </w:tcPr>
          <w:p>
            <w:pPr>
              <w:spacing w:after="40"/>
            </w:pPr>
            <w:r>
              <w:t xml:space="preserve">Datensparsamkeit, private Voreinstellung, Löschkonzept und dokumentierte Auftragsbearbeitung.</w:t>
            </w:r>
          </w:p>
        </w:tc>
      </w:tr>
      <w:tr>
        <w:tc>
          <w:tcPr>
            <w:tcW w:w="2200" w:type="dxa"/>
            <w:vAlign w:val="top"/>
          </w:tcPr>
          <w:p>
            <w:pPr>
              <w:spacing w:after="40"/>
            </w:pPr>
            <w:r>
              <w:t xml:space="preserve">Barrierearmut</w:t>
            </w:r>
          </w:p>
        </w:tc>
        <w:tc>
          <w:tcPr>
            <w:tcW w:w="7300" w:type="dxa"/>
            <w:vAlign w:val="top"/>
          </w:tcPr>
          <w:p>
            <w:pPr>
              <w:spacing w:after="40"/>
            </w:pPr>
            <w:r>
              <w:t xml:space="preserve">Tastaturbedienung, verständliche Fehlermeldungen, ausreichende Kontraste und mobile Nutzbarkeit.</w:t>
            </w:r>
          </w:p>
        </w:tc>
      </w:tr>
    </w:tbl>
    <w:p>
      <w:pPr>
        <w:spacing w:after="40"/>
      </w:pPr>
      <w:r>
        <w:t xml:space="preserve"/>
      </w:r>
    </w:p>
    <w:p>
      <w:pPr>
        <w:pStyle w:val="Heading2"/>
        <w:keepNext/>
      </w:pPr>
      <w:r>
        <w:t xml:space="preserve">4.3 Prioritäten</w:t>
      </w:r>
    </w:p>
    <w:p>
      <w:r>
        <w:t xml:space="preserve">Mandantenisolation, Authentifizierung, Backups und kontrollierte Provisionierung sind vor Komfortfunktionen zu priorisieren. Ein hübscher Checkout darf nicht vor einer belastbaren Daten- und Zugriffsgrenze umgesetzt werden.</w:t>
      </w:r>
    </w:p>
    <w:p>
      <w:pPr>
        <w:pStyle w:val="Heading1"/>
        <w:keepNext/>
      </w:pPr>
      <w:r>
        <w:t xml:space="preserve">5. Architekturvarianten und Empfehlung</w:t>
      </w:r>
    </w:p>
    <w:p>
      <w:pPr>
        <w:pStyle w:val="Heading2"/>
        <w:keepNext/>
      </w:pPr>
      <w:r>
        <w:t xml:space="preserve">5.1 Variante A – Vollständig separate Installation pro Kunde</w:t>
      </w:r>
    </w:p>
    <w:p>
      <w:r>
        <w:t xml:space="preserve">Für jeden Kunden werden eine eigene Kopie der Applikation, ein eigener Webserver- oder Containerkontext, eine eigene Konfiguration, eine eigene Datenbank und eine eigene Dateiablage eingerichtet.</w:t>
      </w:r>
    </w:p>
    <w:p>
      <w:pPr>
        <w:pStyle w:val="ListBullet"/>
        <w:ind w:left="360" w:hanging="240"/>
      </w:pPr>
      <w:r>
        <w:t xml:space="preserve">• Vorteile: sehr starke technische Isolation; kundenspezifische Wartungsfenster möglich; leicht als «dedizierte Instanz» vermarktbar.</w:t>
      </w:r>
    </w:p>
    <w:p>
      <w:pPr>
        <w:pStyle w:val="ListBullet"/>
        <w:ind w:left="360" w:hanging="240"/>
      </w:pPr>
      <w:r>
        <w:t xml:space="preserve">• Nachteile: Updates, Sicherheitskorrekturen, Monitoring, Backups und Konfiguration vervielfachen sich; Gefahr unterschiedlicher Versionsstände; höhere Betriebskosten.</w:t>
      </w:r>
    </w:p>
    <w:p>
      <w:pPr>
        <w:pStyle w:val="ListBullet"/>
        <w:ind w:left="360" w:hanging="240"/>
      </w:pPr>
      <w:r>
        <w:t xml:space="preserve">• Geeignet: späterer Enterprise-Tarif mit besonderen vertraglichen oder regulatorischen Anforderungen.</w:t>
      </w:r>
    </w:p>
    <w:p>
      <w:pPr>
        <w:pStyle w:val="Heading2"/>
        <w:keepNext/>
      </w:pPr>
      <w:r>
        <w:t xml:space="preserve">5.2 Variante B – Gemeinsame Applikation, separate Datenbank pro Kunde</w:t>
      </w:r>
    </w:p>
    <w:p>
      <w:r>
        <w:t xml:space="preserve">Alle Kunden nutzen denselben Programmcode. Der Hostname bestimmt den Kunden und damit die Datenbankverbindung. Jeder Kunde erhält eine eigene Datenbank sowie eine eigene Dateiablage. Eine zentrale Plattformdatenbank verwaltet Kunden, Benutzer, Abos und technische Zuordnungen.</w:t>
      </w:r>
    </w:p>
    <w:p>
      <w:pPr>
        <w:pStyle w:val="ListBullet"/>
        <w:ind w:left="360" w:hanging="240"/>
      </w:pPr>
      <w:r>
        <w:t xml:space="preserve">• Vorteile: klare Datenisolation, einfache kundenbezogene Sicherung und Wiederherstellung, zentrale Updates, geringe Eingriffe in bestehende Fachabfragen.</w:t>
      </w:r>
    </w:p>
    <w:p>
      <w:pPr>
        <w:pStyle w:val="ListBullet"/>
        <w:ind w:left="360" w:hanging="240"/>
      </w:pPr>
      <w:r>
        <w:t xml:space="preserve">• Nachteile: Migrationen müssen über viele Kundendatenbanken orchestriert werden; mehr Datenbanken und Zugangsdaten müssen verwaltet werden.</w:t>
      </w:r>
    </w:p>
    <w:p>
      <w:pPr>
        <w:pStyle w:val="ListBullet"/>
        <w:ind w:left="360" w:hanging="240"/>
      </w:pPr>
      <w:r>
        <w:t xml:space="preserve">• Geeignet: empfohlene Zielarchitektur für die erste SaaS-Version.</w:t>
      </w:r>
    </w:p>
    <w:p>
      <w:pPr>
        <w:pStyle w:val="Heading2"/>
        <w:keepNext/>
      </w:pPr>
      <w:r>
        <w:t xml:space="preserve">5.3 Variante C – Gemeinsame Applikation und gemeinsame Tabellen</w:t>
      </w:r>
    </w:p>
    <w:p>
      <w:r>
        <w:t xml:space="preserve">Alle Fachdaten liegen in denselben Tabellen und tragen eine tenant_id. Jede Abfrage muss den aktuellen Mandanten filtern.</w:t>
      </w:r>
    </w:p>
    <w:p>
      <w:pPr>
        <w:pStyle w:val="ListBullet"/>
        <w:ind w:left="360" w:hanging="240"/>
      </w:pPr>
      <w:r>
        <w:t xml:space="preserve">• Vorteile: betrieblich kompakt; einfache globale Auswertungen; grosse Mandantenzahl mit wenig Datenbankobjekten.</w:t>
      </w:r>
    </w:p>
    <w:p>
      <w:pPr>
        <w:pStyle w:val="ListBullet"/>
        <w:ind w:left="360" w:hanging="240"/>
      </w:pPr>
      <w:r>
        <w:t xml:space="preserve">• Nachteile: eine vergessene Mandantenbedingung kann fremde Daten offenlegen; bestehende Abfragen müssten flächendeckend angepasst werden; Einzelwiederherstellung ist anspruchsvoller.</w:t>
      </w:r>
    </w:p>
    <w:p>
      <w:pPr>
        <w:pStyle w:val="ListBullet"/>
        <w:ind w:left="360" w:hanging="240"/>
      </w:pPr>
      <w:r>
        <w:t xml:space="preserve">• Geeignet: sehr hohe Kundenzahlen oder stark standardisierte Plattformen mit ausgereifter Data-Access-Schicht.</w:t>
      </w:r>
    </w:p>
    <w:p>
      <w:pPr>
        <w:pStyle w:val="Heading2"/>
        <w:keepNext/>
      </w:pPr>
      <w:r>
        <w:t xml:space="preserve">5.4 Bewertungsmatrix</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200"/>
        <w:gridCol w:w="2400"/>
        <w:gridCol w:w="2500"/>
        <w:gridCol w:w="2400"/>
      </w:tblGrid>
      <w:tr>
        <w:tc>
          <w:tcPr>
            <w:tcW w:w="2200" w:type="dxa"/>
            <w:shd w:val="clear" w:color="auto" w:fill="DDEBF7"/>
            <w:vAlign w:val="top"/>
          </w:tcPr>
          <w:p>
            <w:pPr>
              <w:spacing w:after="40"/>
            </w:pPr>
            <w:r>
              <w:rPr>
                <w:b/>
              </w:rPr>
              <w:t xml:space="preserve">Kriterium</w:t>
            </w:r>
          </w:p>
        </w:tc>
        <w:tc>
          <w:tcPr>
            <w:tcW w:w="2400" w:type="dxa"/>
            <w:shd w:val="clear" w:color="auto" w:fill="DDEBF7"/>
            <w:vAlign w:val="top"/>
          </w:tcPr>
          <w:p>
            <w:pPr>
              <w:spacing w:after="40"/>
            </w:pPr>
            <w:r>
              <w:rPr>
                <w:b/>
              </w:rPr>
              <w:t xml:space="preserve">A: separate Installation</w:t>
            </w:r>
          </w:p>
        </w:tc>
        <w:tc>
          <w:tcPr>
            <w:tcW w:w="2500" w:type="dxa"/>
            <w:shd w:val="clear" w:color="auto" w:fill="DDEBF7"/>
            <w:vAlign w:val="top"/>
          </w:tcPr>
          <w:p>
            <w:pPr>
              <w:spacing w:after="40"/>
            </w:pPr>
            <w:r>
              <w:rPr>
                <w:b/>
              </w:rPr>
              <w:t xml:space="preserve">B: gemeinsame App / eigene DB</w:t>
            </w:r>
          </w:p>
        </w:tc>
        <w:tc>
          <w:tcPr>
            <w:tcW w:w="2400" w:type="dxa"/>
            <w:shd w:val="clear" w:color="auto" w:fill="DDEBF7"/>
            <w:vAlign w:val="top"/>
          </w:tcPr>
          <w:p>
            <w:pPr>
              <w:spacing w:after="40"/>
            </w:pPr>
            <w:r>
              <w:rPr>
                <w:b/>
              </w:rPr>
              <w:t xml:space="preserve">C: gemeinsame Tabellen</w:t>
            </w:r>
          </w:p>
        </w:tc>
      </w:tr>
      <w:tr>
        <w:tc>
          <w:tcPr>
            <w:tcW w:w="2200" w:type="dxa"/>
            <w:vAlign w:val="top"/>
          </w:tcPr>
          <w:p>
            <w:pPr>
              <w:spacing w:after="40"/>
            </w:pPr>
            <w:r>
              <w:t xml:space="preserve">Datenisolation</w:t>
            </w:r>
          </w:p>
        </w:tc>
        <w:tc>
          <w:tcPr>
            <w:tcW w:w="2400" w:type="dxa"/>
            <w:vAlign w:val="top"/>
          </w:tcPr>
          <w:p>
            <w:pPr>
              <w:spacing w:after="40"/>
            </w:pPr>
            <w:r>
              <w:t xml:space="preserve">Sehr hoch</w:t>
            </w:r>
          </w:p>
        </w:tc>
        <w:tc>
          <w:tcPr>
            <w:tcW w:w="2500" w:type="dxa"/>
            <w:vAlign w:val="top"/>
          </w:tcPr>
          <w:p>
            <w:pPr>
              <w:spacing w:after="40"/>
            </w:pPr>
            <w:r>
              <w:t xml:space="preserve">Hoch</w:t>
            </w:r>
          </w:p>
        </w:tc>
        <w:tc>
          <w:tcPr>
            <w:tcW w:w="2400" w:type="dxa"/>
            <w:vAlign w:val="top"/>
          </w:tcPr>
          <w:p>
            <w:pPr>
              <w:spacing w:after="40"/>
            </w:pPr>
            <w:r>
              <w:t xml:space="preserve">Mittel, stark von korrekten Filtern abhängig</w:t>
            </w:r>
          </w:p>
        </w:tc>
      </w:tr>
      <w:tr>
        <w:tc>
          <w:tcPr>
            <w:tcW w:w="2200" w:type="dxa"/>
            <w:vAlign w:val="top"/>
          </w:tcPr>
          <w:p>
            <w:pPr>
              <w:spacing w:after="40"/>
            </w:pPr>
            <w:r>
              <w:t xml:space="preserve">Updateaufwand</w:t>
            </w:r>
          </w:p>
        </w:tc>
        <w:tc>
          <w:tcPr>
            <w:tcW w:w="2400" w:type="dxa"/>
            <w:vAlign w:val="top"/>
          </w:tcPr>
          <w:p>
            <w:pPr>
              <w:spacing w:after="40"/>
            </w:pPr>
            <w:r>
              <w:t xml:space="preserve">Hoch</w:t>
            </w:r>
          </w:p>
        </w:tc>
        <w:tc>
          <w:tcPr>
            <w:tcW w:w="2500" w:type="dxa"/>
            <w:vAlign w:val="top"/>
          </w:tcPr>
          <w:p>
            <w:pPr>
              <w:spacing w:after="40"/>
            </w:pPr>
            <w:r>
              <w:t xml:space="preserve">Mittel</w:t>
            </w:r>
          </w:p>
        </w:tc>
        <w:tc>
          <w:tcPr>
            <w:tcW w:w="2400" w:type="dxa"/>
            <w:vAlign w:val="top"/>
          </w:tcPr>
          <w:p>
            <w:pPr>
              <w:spacing w:after="40"/>
            </w:pPr>
            <w:r>
              <w:t xml:space="preserve">Niedrig</w:t>
            </w:r>
          </w:p>
        </w:tc>
      </w:tr>
      <w:tr>
        <w:tc>
          <w:tcPr>
            <w:tcW w:w="2200" w:type="dxa"/>
            <w:vAlign w:val="top"/>
          </w:tcPr>
          <w:p>
            <w:pPr>
              <w:spacing w:after="40"/>
            </w:pPr>
            <w:r>
              <w:t xml:space="preserve">Umbau der bestehenden App</w:t>
            </w:r>
          </w:p>
        </w:tc>
        <w:tc>
          <w:tcPr>
            <w:tcW w:w="2400" w:type="dxa"/>
            <w:vAlign w:val="top"/>
          </w:tcPr>
          <w:p>
            <w:pPr>
              <w:spacing w:after="40"/>
            </w:pPr>
            <w:r>
              <w:t xml:space="preserve">Mittel</w:t>
            </w:r>
          </w:p>
        </w:tc>
        <w:tc>
          <w:tcPr>
            <w:tcW w:w="2500" w:type="dxa"/>
            <w:vAlign w:val="top"/>
          </w:tcPr>
          <w:p>
            <w:pPr>
              <w:spacing w:after="40"/>
            </w:pPr>
            <w:r>
              <w:t xml:space="preserve">Mittel</w:t>
            </w:r>
          </w:p>
        </w:tc>
        <w:tc>
          <w:tcPr>
            <w:tcW w:w="2400" w:type="dxa"/>
            <w:vAlign w:val="top"/>
          </w:tcPr>
          <w:p>
            <w:pPr>
              <w:spacing w:after="40"/>
            </w:pPr>
            <w:r>
              <w:t xml:space="preserve">Hoch</w:t>
            </w:r>
          </w:p>
        </w:tc>
      </w:tr>
      <w:tr>
        <w:tc>
          <w:tcPr>
            <w:tcW w:w="2200" w:type="dxa"/>
            <w:vAlign w:val="top"/>
          </w:tcPr>
          <w:p>
            <w:pPr>
              <w:spacing w:after="40"/>
            </w:pPr>
            <w:r>
              <w:t xml:space="preserve">Einzelbackup/-restore</w:t>
            </w:r>
          </w:p>
        </w:tc>
        <w:tc>
          <w:tcPr>
            <w:tcW w:w="2400" w:type="dxa"/>
            <w:vAlign w:val="top"/>
          </w:tcPr>
          <w:p>
            <w:pPr>
              <w:spacing w:after="40"/>
            </w:pPr>
            <w:r>
              <w:t xml:space="preserve">Einfach</w:t>
            </w:r>
          </w:p>
        </w:tc>
        <w:tc>
          <w:tcPr>
            <w:tcW w:w="2500" w:type="dxa"/>
            <w:vAlign w:val="top"/>
          </w:tcPr>
          <w:p>
            <w:pPr>
              <w:spacing w:after="40"/>
            </w:pPr>
            <w:r>
              <w:t xml:space="preserve">Einfach</w:t>
            </w:r>
          </w:p>
        </w:tc>
        <w:tc>
          <w:tcPr>
            <w:tcW w:w="2400" w:type="dxa"/>
            <w:vAlign w:val="top"/>
          </w:tcPr>
          <w:p>
            <w:pPr>
              <w:spacing w:after="40"/>
            </w:pPr>
            <w:r>
              <w:t xml:space="preserve">Anspruchsvoll</w:t>
            </w:r>
          </w:p>
        </w:tc>
      </w:tr>
      <w:tr>
        <w:tc>
          <w:tcPr>
            <w:tcW w:w="2200" w:type="dxa"/>
            <w:vAlign w:val="top"/>
          </w:tcPr>
          <w:p>
            <w:pPr>
              <w:spacing w:after="40"/>
            </w:pPr>
            <w:r>
              <w:t xml:space="preserve">Betriebskosten pro Kunde</w:t>
            </w:r>
          </w:p>
        </w:tc>
        <w:tc>
          <w:tcPr>
            <w:tcW w:w="2400" w:type="dxa"/>
            <w:vAlign w:val="top"/>
          </w:tcPr>
          <w:p>
            <w:pPr>
              <w:spacing w:after="40"/>
            </w:pPr>
            <w:r>
              <w:t xml:space="preserve">Hoch</w:t>
            </w:r>
          </w:p>
        </w:tc>
        <w:tc>
          <w:tcPr>
            <w:tcW w:w="2500" w:type="dxa"/>
            <w:vAlign w:val="top"/>
          </w:tcPr>
          <w:p>
            <w:pPr>
              <w:spacing w:after="40"/>
            </w:pPr>
            <w:r>
              <w:t xml:space="preserve">Mittel</w:t>
            </w:r>
          </w:p>
        </w:tc>
        <w:tc>
          <w:tcPr>
            <w:tcW w:w="2400" w:type="dxa"/>
            <w:vAlign w:val="top"/>
          </w:tcPr>
          <w:p>
            <w:pPr>
              <w:spacing w:after="40"/>
            </w:pPr>
            <w:r>
              <w:t xml:space="preserve">Niedrig</w:t>
            </w:r>
          </w:p>
        </w:tc>
      </w:tr>
      <w:tr>
        <w:tc>
          <w:tcPr>
            <w:tcW w:w="2200" w:type="dxa"/>
            <w:vAlign w:val="top"/>
          </w:tcPr>
          <w:p>
            <w:pPr>
              <w:spacing w:after="40"/>
            </w:pPr>
            <w:r>
              <w:t xml:space="preserve">Risiko kundenspezifischer Versionen</w:t>
            </w:r>
          </w:p>
        </w:tc>
        <w:tc>
          <w:tcPr>
            <w:tcW w:w="2400" w:type="dxa"/>
            <w:vAlign w:val="top"/>
          </w:tcPr>
          <w:p>
            <w:pPr>
              <w:spacing w:after="40"/>
            </w:pPr>
            <w:r>
              <w:t xml:space="preserve">Hoch</w:t>
            </w:r>
          </w:p>
        </w:tc>
        <w:tc>
          <w:tcPr>
            <w:tcW w:w="2500" w:type="dxa"/>
            <w:vAlign w:val="top"/>
          </w:tcPr>
          <w:p>
            <w:pPr>
              <w:spacing w:after="40"/>
            </w:pPr>
            <w:r>
              <w:t xml:space="preserve">Niedrig</w:t>
            </w:r>
          </w:p>
        </w:tc>
        <w:tc>
          <w:tcPr>
            <w:tcW w:w="2400" w:type="dxa"/>
            <w:vAlign w:val="top"/>
          </w:tcPr>
          <w:p>
            <w:pPr>
              <w:spacing w:after="40"/>
            </w:pPr>
            <w:r>
              <w:t xml:space="preserve">Niedrig</w:t>
            </w:r>
          </w:p>
        </w:tc>
      </w:tr>
      <w:tr>
        <w:tc>
          <w:tcPr>
            <w:tcW w:w="2200" w:type="dxa"/>
            <w:vAlign w:val="top"/>
          </w:tcPr>
          <w:p>
            <w:pPr>
              <w:spacing w:after="40"/>
            </w:pPr>
            <w:r>
              <w:t xml:space="preserve">Eignung für MVP</w:t>
            </w:r>
          </w:p>
        </w:tc>
        <w:tc>
          <w:tcPr>
            <w:tcW w:w="2400" w:type="dxa"/>
            <w:vAlign w:val="top"/>
          </w:tcPr>
          <w:p>
            <w:pPr>
              <w:spacing w:after="40"/>
            </w:pPr>
            <w:r>
              <w:t xml:space="preserve">Bedingt</w:t>
            </w:r>
          </w:p>
        </w:tc>
        <w:tc>
          <w:tcPr>
            <w:tcW w:w="2500" w:type="dxa"/>
            <w:vAlign w:val="top"/>
          </w:tcPr>
          <w:p>
            <w:pPr>
              <w:spacing w:after="40"/>
            </w:pPr>
            <w:r>
              <w:t xml:space="preserve">Sehr gut</w:t>
            </w:r>
          </w:p>
        </w:tc>
        <w:tc>
          <w:tcPr>
            <w:tcW w:w="2400" w:type="dxa"/>
            <w:vAlign w:val="top"/>
          </w:tcPr>
          <w:p>
            <w:pPr>
              <w:spacing w:after="40"/>
            </w:pPr>
            <w:r>
              <w:t xml:space="preserve">Bedingt</w:t>
            </w:r>
          </w:p>
        </w:tc>
      </w:tr>
    </w:tbl>
    <w:p>
      <w:pPr>
        <w:spacing w:after="40"/>
      </w:pPr>
      <w:r>
        <w:t xml:space="preserve"/>
      </w:r>
    </w:p>
    <w:p>
      <w:r>
        <w:t xml:space="preserve">Entscheidvorschlag A-01: Variante B wird als Standard gewählt. Eine dedizierte Installation kann später als separat bepreiste Enterprise-Option angeboten werden. Der Begriff «eigene Instanz» sollte im Marketing präzisiert werden: Standardkunden erhalten einen eigenen Mandanten mit eigener Datenbank, jedoch keine eigene Codekopie.</w:t>
      </w:r>
    </w:p>
    <w:p>
      <w:pPr>
        <w:pStyle w:val="Heading1"/>
        <w:keepNext/>
      </w:pPr>
      <w:r>
        <w:t xml:space="preserve">6. Zielarchitektur</w:t>
      </w:r>
    </w:p>
    <w:p>
      <w:pPr>
        <w:pStyle w:val="Heading2"/>
        <w:keepNext/>
      </w:pPr>
      <w:r>
        <w:t xml:space="preserve">6.1 Gesamtübersicht</w:t>
      </w:r>
    </w:p>
    <w:p>
      <w:pPr>
        <w:pStyle w:val="Code"/>
        <w:spacing w:after="0"/>
        <w:shd w:val="clear" w:color="auto" w:fill="F3F5F7"/>
        <w:ind w:left="160" w:right="160"/>
      </w:pPr>
      <w:r>
        <w:rPr>
          <w:rFonts w:ascii="Consolas" w:hAnsi="Consolas"/>
        </w:rPr>
        <w:t xml:space="preserve">Internet / Browser</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DNS *.laufapp.ch  →  TLS / Reverse Proxy / Apache</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Gemeinsame PHP-Applikation</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 Mandantenauflösung über Hostname</w:t>
      </w:r>
    </w:p>
    <w:p>
      <w:pPr>
        <w:pStyle w:val="Code"/>
        <w:spacing w:after="0"/>
        <w:shd w:val="clear" w:color="auto" w:fill="F3F5F7"/>
        <w:ind w:left="160" w:right="160"/>
      </w:pPr>
      <w:r>
        <w:rPr>
          <w:rFonts w:ascii="Consolas" w:hAnsi="Consolas"/>
        </w:rPr>
        <w:t xml:space="preserve">       ├── Authentifizierung und Rollenprüfung</w:t>
      </w:r>
    </w:p>
    <w:p>
      <w:pPr>
        <w:pStyle w:val="Code"/>
        <w:spacing w:after="0"/>
        <w:shd w:val="clear" w:color="auto" w:fill="F3F5F7"/>
        <w:ind w:left="160" w:right="160"/>
      </w:pPr>
      <w:r>
        <w:rPr>
          <w:rFonts w:ascii="Consolas" w:hAnsi="Consolas"/>
        </w:rPr>
        <w:t xml:space="preserve">       ├── Abo- und Berechtigungsprüfung</w:t>
      </w:r>
    </w:p>
    <w:p>
      <w:pPr>
        <w:pStyle w:val="Code"/>
        <w:spacing w:after="0"/>
        <w:shd w:val="clear" w:color="auto" w:fill="F3F5F7"/>
        <w:ind w:left="160" w:right="160"/>
      </w:pPr>
      <w:r>
        <w:rPr>
          <w:rFonts w:ascii="Consolas" w:hAnsi="Consolas"/>
        </w:rPr>
        <w:t xml:space="preserve">       └── Fachliche Laufanlass-Funktionen</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 Plattform-DB: Kunden, Benutzer, Abos, Jobs, Audit</w:t>
      </w:r>
    </w:p>
    <w:p>
      <w:pPr>
        <w:pStyle w:val="Code"/>
        <w:spacing w:after="0"/>
        <w:shd w:val="clear" w:color="auto" w:fill="F3F5F7"/>
        <w:ind w:left="160" w:right="160"/>
      </w:pPr>
      <w:r>
        <w:rPr>
          <w:rFonts w:ascii="Consolas" w:hAnsi="Consolas"/>
        </w:rPr>
        <w:t xml:space="preserve">              ├── Kunden-DB A: Anlässe, Teilnehmende, Resultate</w:t>
      </w:r>
    </w:p>
    <w:p>
      <w:pPr>
        <w:pStyle w:val="Code"/>
        <w:spacing w:after="0"/>
        <w:shd w:val="clear" w:color="auto" w:fill="F3F5F7"/>
        <w:ind w:left="160" w:right="160"/>
      </w:pPr>
      <w:r>
        <w:rPr>
          <w:rFonts w:ascii="Consolas" w:hAnsi="Consolas"/>
        </w:rPr>
        <w:t xml:space="preserve">              ├── Kunden-DB B: Anlässe, Teilnehmende, Resultate</w:t>
      </w:r>
    </w:p>
    <w:p>
      <w:pPr>
        <w:pStyle w:val="Code"/>
        <w:spacing w:after="0"/>
        <w:shd w:val="clear" w:color="auto" w:fill="F3F5F7"/>
        <w:ind w:left="160" w:right="160"/>
      </w:pPr>
      <w:r>
        <w:rPr>
          <w:rFonts w:ascii="Consolas" w:hAnsi="Consolas"/>
        </w:rPr>
        <w:t xml:space="preserve">              └── Dateiablage mit getrennten Kundenpräfixen</w:t>
      </w:r>
    </w:p>
    <w:p>
      <w:pPr>
        <w:spacing w:after="60"/>
      </w:pPr>
      <w:r>
        <w:t xml:space="preserve"/>
      </w:r>
    </w:p>
    <w:p>
      <w:pPr>
        <w:pStyle w:val="Heading2"/>
        <w:keepNext/>
      </w:pPr>
      <w:r>
        <w:t xml:space="preserve">6.2 Zentrale Plattformebene – Control Plane</w:t>
      </w:r>
    </w:p>
    <w:p>
      <w:r>
        <w:t xml:space="preserve">Die Control Plane verwaltet alles, was kundenübergreifend für den Betrieb nötig ist, aber keine fachlichen Teilnehmenden- und Resultatdaten. Sie ist die administrative Quelle für Mandantenzuordnung und Zugriffsstatus.</w:t>
      </w:r>
    </w:p>
    <w:p>
      <w:pPr>
        <w:pStyle w:val="ListBullet"/>
        <w:ind w:left="360" w:hanging="240"/>
      </w:pPr>
      <w:r>
        <w:t xml:space="preserve">• Kundenorganisationen und eindeutige interne Mandanten-IDs.</w:t>
      </w:r>
    </w:p>
    <w:p>
      <w:pPr>
        <w:pStyle w:val="ListBullet"/>
        <w:ind w:left="360" w:hanging="240"/>
      </w:pPr>
      <w:r>
        <w:t xml:space="preserve">• Subdomains und später optional verifizierte kundeneigene Domains.</w:t>
      </w:r>
    </w:p>
    <w:p>
      <w:pPr>
        <w:pStyle w:val="ListBullet"/>
        <w:ind w:left="360" w:hanging="240"/>
      </w:pPr>
      <w:r>
        <w:t xml:space="preserve">• Benutzeridentitäten, E-Mail-Verifikation und Mitgliedschaften.</w:t>
      </w:r>
    </w:p>
    <w:p>
      <w:pPr>
        <w:pStyle w:val="ListBullet"/>
        <w:ind w:left="360" w:hanging="240"/>
      </w:pPr>
      <w:r>
        <w:t xml:space="preserve">• Tarife, Limiten, Testphasen und manuelle Sonderfreigaben.</w:t>
      </w:r>
    </w:p>
    <w:p>
      <w:pPr>
        <w:pStyle w:val="ListBullet"/>
        <w:ind w:left="360" w:hanging="240"/>
      </w:pPr>
      <w:r>
        <w:t xml:space="preserve">• Abonnementreferenzen, lokaler Abozustand und Zahlungsperioden.</w:t>
      </w:r>
    </w:p>
    <w:p>
      <w:pPr>
        <w:pStyle w:val="ListBullet"/>
        <w:ind w:left="360" w:hanging="240"/>
      </w:pPr>
      <w:r>
        <w:t xml:space="preserve">• Provisionierungs- und Migrationsaufträge mit Wiederholungsstatus.</w:t>
      </w:r>
    </w:p>
    <w:p>
      <w:pPr>
        <w:pStyle w:val="ListBullet"/>
        <w:ind w:left="360" w:hanging="240"/>
      </w:pPr>
      <w:r>
        <w:t xml:space="preserve">• Webhook-Ereignisse mit eindeutiger Provider-Ereignis-ID.</w:t>
      </w:r>
    </w:p>
    <w:p>
      <w:pPr>
        <w:pStyle w:val="ListBullet"/>
        <w:ind w:left="360" w:hanging="240"/>
      </w:pPr>
      <w:r>
        <w:t xml:space="preserve">• Audit- und Supportereignisse.</w:t>
      </w:r>
    </w:p>
    <w:p>
      <w:pPr>
        <w:pStyle w:val="ListBullet"/>
        <w:ind w:left="360" w:hanging="240"/>
      </w:pPr>
      <w:r>
        <w:t xml:space="preserve">• Zuordnung zur Kundendatenbank und zum Dateiablagepräfix.</w:t>
      </w:r>
    </w:p>
    <w:p>
      <w:pPr>
        <w:pStyle w:val="Heading2"/>
        <w:keepNext/>
      </w:pPr>
      <w:r>
        <w:t xml:space="preserve">6.3 Kundenebene – Data Plane</w:t>
      </w:r>
    </w:p>
    <w:p>
      <w:r>
        <w:t xml:space="preserve">Die Data Plane enthält die eigentlichen Laufanlass-Daten. Die bestehende fachliche Struktur kann weitgehend je Kundendatenbank weiterverwendet werden. Zusätzlich werden eine Schema-Version, Kundeneinstellungen und gegebenenfalls lokale Auditdetails benötigt.</w:t>
      </w:r>
    </w:p>
    <w:p>
      <w:pPr>
        <w:pStyle w:val="Heading2"/>
        <w:keepNext/>
      </w:pPr>
      <w:r>
        <w:t xml:space="preserve">6.4 Technologische Leitlinie</w:t>
      </w:r>
    </w:p>
    <w:p>
      <w:r>
        <w:t xml:space="preserve">Die bestehende LAMP-Grundlage kann für die erste SaaS-Version beibehalten werden. Eine schrittweise Strukturierung in Controller, Services, Repositories und Views ist jedoch ratsam. Die Mandanten- und Berechtigungsprüfung darf nicht als lose Sammlung von Prüfungen im Front Controller verbleiben, sondern muss zentral und testbar werden.</w:t>
      </w:r>
    </w:p>
    <w:p>
      <w:r>
        <w:t xml:space="preserve">Microservices sind für die erste Version nicht erforderlich. Sinnvolle klar getrennte Komponenten sind dennoch: Webapplikation, Hintergrundworker, Plattformdatenbank, MariaDB-Cluster für Kundendatenbanken, Datei-/Objektspeicher sowie E-Mail- und Zahlungsanbieter.</w:t>
      </w:r>
    </w:p>
    <w:p>
      <w:pPr>
        <w:pStyle w:val="Heading1"/>
        <w:keepNext/>
      </w:pPr>
      <w:r>
        <w:t xml:space="preserve">7. Domains, Subdomains und TLS</w:t>
      </w:r>
    </w:p>
    <w:p>
      <w:pPr>
        <w:pStyle w:val="Heading2"/>
        <w:keepNext/>
      </w:pPr>
      <w:r>
        <w:t xml:space="preserve">7.1 Namenskonzept</w:t>
      </w:r>
    </w:p>
    <w:p>
      <w:r>
        <w:t xml:space="preserve">Für jeden Kunden wird ein unveränderlicher interner Mandantenschlüssel erzeugt. Zusätzlich wählt der Kunde einen lesbaren Subdomain-Slug, beispielsweise «turnverein-winkel». Der Slug ist eine Adresse und darf nicht als Datenbankschlüssel verwendet werden, weil er später umbenannt werden kann.</w:t>
      </w:r>
    </w:p>
    <w:p>
      <w:pPr>
        <w:pStyle w:val="ListBullet"/>
        <w:ind w:left="360" w:hanging="240"/>
      </w:pPr>
      <w:r>
        <w:t xml:space="preserve">• Zulässige Zeichen im MVP: a–z, 0–9 und Bindestrich.</w:t>
      </w:r>
    </w:p>
    <w:p>
      <w:pPr>
        <w:pStyle w:val="ListBullet"/>
        <w:ind w:left="360" w:hanging="240"/>
      </w:pPr>
      <w:r>
        <w:t xml:space="preserve">• Länge beispielsweise 3 bis 40 Zeichen.</w:t>
      </w:r>
    </w:p>
    <w:p>
      <w:pPr>
        <w:pStyle w:val="ListBullet"/>
        <w:ind w:left="360" w:hanging="240"/>
      </w:pPr>
      <w:r>
        <w:t xml:space="preserve">• Keine führenden oder abschliessenden Bindestriche.</w:t>
      </w:r>
    </w:p>
    <w:p>
      <w:pPr>
        <w:pStyle w:val="ListBullet"/>
        <w:ind w:left="360" w:hanging="240"/>
      </w:pPr>
      <w:r>
        <w:t xml:space="preserve">• Reservierte Namen: www, admin, api, status, support, mail, smtp, billing und ähnliche technische Begriffe.</w:t>
      </w:r>
    </w:p>
    <w:p>
      <w:pPr>
        <w:pStyle w:val="ListBullet"/>
        <w:ind w:left="360" w:hanging="240"/>
      </w:pPr>
      <w:r>
        <w:t xml:space="preserve">• Eindeutigkeit wird in der Plattformdatenbank erzwungen.</w:t>
      </w:r>
    </w:p>
    <w:p>
      <w:pPr>
        <w:pStyle w:val="ListBullet"/>
        <w:ind w:left="360" w:hanging="240"/>
      </w:pPr>
      <w:r>
        <w:t xml:space="preserve">• Umbenennungen erfolgen kontrolliert; alte Subdomains können zeitlich begrenzt weiterleiten.</w:t>
      </w:r>
    </w:p>
    <w:p>
      <w:pPr>
        <w:pStyle w:val="Heading2"/>
        <w:keepNext/>
      </w:pPr>
      <w:r>
        <w:t xml:space="preserve">7.2 Wildcard-DNS</w:t>
      </w:r>
    </w:p>
    <w:p>
      <w:r>
        <w:t xml:space="preserve">Ein Wildcard-Eintrag «*.laufapp.ch» zeigt auf den gemeinsamen Einstiegspunkt. Dadurch ist eine neue Subdomain nach Aktivierung des Mandantendatensatzes sofort erreichbar, ohne dass für jeden Kunden ein einzelner DNS-Eintrag propagiert werden muss. Apache kann solche Hostnamen über einen Wildcard-ServerAlias bedienen.</w:t>
      </w:r>
    </w:p>
    <w:p>
      <w:pPr>
        <w:pStyle w:val="Heading2"/>
        <w:keepNext/>
      </w:pPr>
      <w:r>
        <w:t xml:space="preserve">7.3 TLS-Zertifikate</w:t>
      </w:r>
    </w:p>
    <w:p>
      <w:r>
        <w:t xml:space="preserve">Für «*.laufapp.ch» wird ein Wildcard-Zertifikat verwendet. Bei Let’s Encrypt erfolgt die Wildcard-Validierung über DNS-01. Der DNS-Provider sollte eine API anbieten, damit Ausstellung und Erneuerung automatisiert erfolgen. DNS-Zugangsdaten sind als hochsensible Betriebsgeheimnisse in einem Secret Store und mit möglichst engem Berechtigungsumfang zu verwalten.</w:t>
      </w:r>
    </w:p>
    <w:p>
      <w:pPr>
        <w:pStyle w:val="Heading2"/>
        <w:keepNext/>
      </w:pPr>
      <w:r>
        <w:t xml:space="preserve">7.4 Hostname-Sicherheit</w:t>
      </w:r>
    </w:p>
    <w:p>
      <w:r>
        <w:t xml:space="preserve">Der Host-Header darf nicht ungeprüft in Weiterleitungen, Links, Cookies oder Datenbankauswahl übernommen werden. Die Anwendung akzeptiert nur kanonische, in der Plattformdatenbank registrierte Hostnamen. Unbekannte Subdomains führen auf eine neutrale Fehler- oder Registrierungsseite und niemals auf den ersten vorhandenen Kunden.</w:t>
      </w:r>
    </w:p>
    <w:p>
      <w:pPr>
        <w:pStyle w:val="Heading2"/>
        <w:keepNext/>
      </w:pPr>
      <w:r>
        <w:t xml:space="preserve">7.5 Kundeneigene Domains</w:t>
      </w:r>
    </w:p>
    <w:p>
      <w:r>
        <w:t xml:space="preserve">Eigene Domains wie «lauf.meinverein.ch» sind eine sinnvolle spätere Funktion. Sie erfordern Domainverifikation, Zertifikatsautomatisierung, CNAME-Anleitung, Schutz vor Domainübernahmen und einen stabilen Kanonisierungsprozess. Für das MVP wird diese Funktion bewusst zurückgestellt.</w:t>
      </w:r>
    </w:p>
    <w:p>
      <w:pPr>
        <w:pStyle w:val="Heading1"/>
        <w:keepNext/>
      </w:pPr>
      <w:r>
        <w:t xml:space="preserve">8. Mandantenauflösung und Datenisolation</w:t>
      </w:r>
    </w:p>
    <w:p>
      <w:pPr>
        <w:pStyle w:val="Heading2"/>
        <w:keepNext/>
      </w:pPr>
      <w:r>
        <w:t xml:space="preserve">8.1 Request-Ablauf</w:t>
      </w:r>
    </w:p>
    <w:p>
      <w:pPr>
        <w:pStyle w:val="ListNumber"/>
        <w:ind w:left="360" w:hanging="300"/>
      </w:pPr>
      <w:r>
        <w:rPr>
          <w:b/>
          <w:color w:val="176B87"/>
        </w:rPr>
        <w:t xml:space="preserve">1  </w:t>
      </w:r>
      <w:r>
        <w:t xml:space="preserve">TLS-Verbindung terminieren und Hostname entgegennehmen.</w:t>
      </w:r>
    </w:p>
    <w:p>
      <w:pPr>
        <w:pStyle w:val="ListNumber"/>
        <w:ind w:left="360" w:hanging="300"/>
      </w:pPr>
      <w:r>
        <w:rPr>
          <w:b/>
          <w:color w:val="176B87"/>
        </w:rPr>
        <w:t xml:space="preserve">2  </w:t>
      </w:r>
      <w:r>
        <w:t xml:space="preserve">Hostname normalisieren und gegen erlaubte Plattformdomains prüfen.</w:t>
      </w:r>
    </w:p>
    <w:p>
      <w:pPr>
        <w:pStyle w:val="ListNumber"/>
        <w:ind w:left="360" w:hanging="300"/>
      </w:pPr>
      <w:r>
        <w:rPr>
          <w:b/>
          <w:color w:val="176B87"/>
        </w:rPr>
        <w:t xml:space="preserve">3  </w:t>
      </w:r>
      <w:r>
        <w:t xml:space="preserve">Mandant über die zentrale Domainzuordnung laden; unbekannte oder deaktivierte Domains ablehnen.</w:t>
      </w:r>
    </w:p>
    <w:p>
      <w:pPr>
        <w:pStyle w:val="ListNumber"/>
        <w:ind w:left="360" w:hanging="300"/>
      </w:pPr>
      <w:r>
        <w:rPr>
          <w:b/>
          <w:color w:val="176B87"/>
        </w:rPr>
        <w:t xml:space="preserve">4  </w:t>
      </w:r>
      <w:r>
        <w:t xml:space="preserve">Abo- und Mandantenstatus aus lokalem Plattformzustand prüfen; Stripe oder ein anderer Provider wird nicht bei jedem Request angerufen.</w:t>
      </w:r>
    </w:p>
    <w:p>
      <w:pPr>
        <w:pStyle w:val="ListNumber"/>
        <w:ind w:left="360" w:hanging="300"/>
      </w:pPr>
      <w:r>
        <w:rPr>
          <w:b/>
          <w:color w:val="176B87"/>
        </w:rPr>
        <w:t xml:space="preserve">5  </w:t>
      </w:r>
      <w:r>
        <w:t xml:space="preserve">Sichere Datenbankkonfiguration des Mandanten aus der internen Zuordnung laden.</w:t>
      </w:r>
    </w:p>
    <w:p>
      <w:pPr>
        <w:pStyle w:val="ListNumber"/>
        <w:ind w:left="360" w:hanging="300"/>
      </w:pPr>
      <w:r>
        <w:rPr>
          <w:b/>
          <w:color w:val="176B87"/>
        </w:rPr>
        <w:t xml:space="preserve">6  </w:t>
      </w:r>
      <w:r>
        <w:t xml:space="preserve">Benutzersitzung und Mitgliedschaft im Mandanten prüfen.</w:t>
      </w:r>
    </w:p>
    <w:p>
      <w:pPr>
        <w:pStyle w:val="ListNumber"/>
        <w:ind w:left="360" w:hanging="300"/>
      </w:pPr>
      <w:r>
        <w:rPr>
          <w:b/>
          <w:color w:val="176B87"/>
        </w:rPr>
        <w:t xml:space="preserve">7  </w:t>
      </w:r>
      <w:r>
        <w:t xml:space="preserve">Erst danach die fachliche Route ausführen.</w:t>
      </w:r>
    </w:p>
    <w:p>
      <w:pPr>
        <w:pStyle w:val="ListNumber"/>
        <w:ind w:left="360" w:hanging="300"/>
      </w:pPr>
      <w:r>
        <w:rPr>
          <w:b/>
          <w:color w:val="176B87"/>
        </w:rPr>
        <w:t xml:space="preserve">8  </w:t>
      </w:r>
      <w:r>
        <w:t xml:space="preserve">Mandanten-ID und Request-ID in technische Logs aufnehmen, jedoch keine unnötigen Personendaten.</w:t>
      </w:r>
    </w:p>
    <w:p>
      <w:pPr>
        <w:pStyle w:val="Heading2"/>
        <w:keepNext/>
      </w:pPr>
      <w:r>
        <w:t xml:space="preserve">8.2 Datenbankisolation</w:t>
      </w:r>
    </w:p>
    <w:p>
      <w:r>
        <w:t xml:space="preserve">Jeder Kunde erhält eine eigene MariaDB-/MySQL-Datenbank. Nach Möglichkeit wird zusätzlich ein eigener Datenbankbenutzer mit Rechten ausschliesslich auf diese Datenbank verwendet. Zugangsdaten gehören nicht in das Repository oder offen in die Plattformtabelle; sie werden verschlüsselt beziehungsweise über ein Secret-Management-System referenziert.</w:t>
      </w:r>
    </w:p>
    <w:p>
      <w:r>
        <w:t xml:space="preserve">Die physische Datenbank kann zunächst auf demselben verwalteten MariaDB-Cluster liegen. «Separate Datenbank» bedeutet damit eine logisch getrennte Datenbank innerhalb eines Clusters und nicht zwingend einen eigenen Datenbankserver. Bei grösseren oder besonders schutzbedürftigen Kunden kann dieselbe Zuordnung später auf einen separaten Cluster zeigen.</w:t>
      </w:r>
    </w:p>
    <w:p>
      <w:pPr>
        <w:pStyle w:val="Heading2"/>
        <w:keepNext/>
      </w:pPr>
      <w:r>
        <w:t xml:space="preserve">8.3 Dateiisolation</w:t>
      </w:r>
    </w:p>
    <w:p>
      <w:r>
        <w:t xml:space="preserve">Dateien erhalten einen internen Pfad wie «tenants/{tenant_uuid}/…». Der öffentliche Subdomain-Slug darf nicht alleiniger Speicherpfad sein. Zugriffe werden serverseitig anhand des aktuellen Mandanten autorisiert. Private Exporte und Sicherungen dürfen nicht direkt unter einer erratbaren öffentlichen URL liegen.</w:t>
      </w:r>
    </w:p>
    <w:p>
      <w:pPr>
        <w:pStyle w:val="Heading2"/>
        <w:keepNext/>
      </w:pPr>
      <w:r>
        <w:t xml:space="preserve">8.4 Schutz vor Querverbindungen</w:t>
      </w:r>
    </w:p>
    <w:p>
      <w:pPr>
        <w:pStyle w:val="ListBullet"/>
        <w:ind w:left="360" w:hanging="240"/>
      </w:pPr>
      <w:r>
        <w:t xml:space="preserve">• Keine tenant_id aus Formularfeldern oder frei gesetzten HTTP-Headern vertrauen.</w:t>
      </w:r>
    </w:p>
    <w:p>
      <w:pPr>
        <w:pStyle w:val="ListBullet"/>
        <w:ind w:left="360" w:hanging="240"/>
      </w:pPr>
      <w:r>
        <w:t xml:space="preserve">• Datenbankverbindung ausschliesslich aus dem serverseitig aufgelösten Hostkontext ableiten.</w:t>
      </w:r>
    </w:p>
    <w:p>
      <w:pPr>
        <w:pStyle w:val="ListBullet"/>
        <w:ind w:left="360" w:hanging="240"/>
      </w:pPr>
      <w:r>
        <w:t xml:space="preserve">• Cache-Schlüssel, Dateipfade, Hintergrundjobs und Rate Limits immer mit interner Mandanten-ID versehen.</w:t>
      </w:r>
    </w:p>
    <w:p>
      <w:pPr>
        <w:pStyle w:val="ListBullet"/>
        <w:ind w:left="360" w:hanging="240"/>
      </w:pPr>
      <w:r>
        <w:t xml:space="preserve">• Supportzugriff nur mit expliziter Auswahl, zeitlicher Begrenzung und Auditprotokoll.</w:t>
      </w:r>
    </w:p>
    <w:p>
      <w:pPr>
        <w:pStyle w:val="ListBullet"/>
        <w:ind w:left="360" w:hanging="240"/>
      </w:pPr>
      <w:r>
        <w:t xml:space="preserve">• Automatisierte negative Tests: Benutzer A darf keine Ressource, Datei oder Export-URL von Kunde B öffnen.</w:t>
      </w:r>
    </w:p>
    <w:p>
      <w:pPr>
        <w:pStyle w:val="ListBullet"/>
        <w:ind w:left="360" w:hanging="240"/>
      </w:pPr>
      <w:r>
        <w:t xml:space="preserve">• Keine globale Suche über Kundendaten im normalen Supportinterface.</w:t>
      </w:r>
    </w:p>
    <w:p>
      <w:r>
        <w:t xml:space="preserve">OWASP empfiehlt für Multi-Tenant-Systeme, den Mandantenkontext serverseitig herzuleiten, Mandanteneigentum in der Datenzugriffsschicht zu prüfen, Cache- und Speicherbereiche zu trennen und den vollständigen Offboarding-Prozess zu auditieren. Die Wahl separater Datenbanken entspricht einer hohen Isolationsstufe.</w:t>
      </w:r>
    </w:p>
    <w:p>
      <w:pPr>
        <w:pStyle w:val="Heading1"/>
        <w:keepNext/>
      </w:pPr>
      <w:r>
        <w:t xml:space="preserve">9. Benutzer, Rollen und Anmeldung</w:t>
      </w:r>
    </w:p>
    <w:p>
      <w:pPr>
        <w:pStyle w:val="Heading2"/>
        <w:keepNext/>
      </w:pPr>
      <w:r>
        <w:t xml:space="preserve">9.1 Zentrale Identität</w:t>
      </w:r>
    </w:p>
    <w:p>
      <w:r>
        <w:t xml:space="preserve">Eine E-Mail-Adresse sollte als zentrale Benutzeridentität dienen. Ein Benutzer kann Mitglied mehrerer Kundenorganisationen sein, beispielsweise eine Zeitmessperson, die für mehrere Vereine arbeitet. Die Zuordnung zum Kunden erfolgt über eine Membership mit Rolle und Status.</w:t>
      </w:r>
    </w:p>
    <w:p>
      <w:pPr>
        <w:pStyle w:val="Heading2"/>
        <w:keepNext/>
      </w:pPr>
      <w:r>
        <w:t xml:space="preserve">9.2 Vorgeschlagenes Rollenmodell</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200"/>
        <w:gridCol w:w="7300"/>
      </w:tblGrid>
      <w:tr>
        <w:tc>
          <w:tcPr>
            <w:tcW w:w="2200" w:type="dxa"/>
            <w:shd w:val="clear" w:color="auto" w:fill="DDEBF7"/>
            <w:vAlign w:val="top"/>
          </w:tcPr>
          <w:p>
            <w:pPr>
              <w:spacing w:after="40"/>
            </w:pPr>
            <w:r>
              <w:rPr>
                <w:b/>
              </w:rPr>
              <w:t xml:space="preserve">Rolle</w:t>
            </w:r>
          </w:p>
        </w:tc>
        <w:tc>
          <w:tcPr>
            <w:tcW w:w="7300" w:type="dxa"/>
            <w:shd w:val="clear" w:color="auto" w:fill="DDEBF7"/>
            <w:vAlign w:val="top"/>
          </w:tcPr>
          <w:p>
            <w:pPr>
              <w:spacing w:after="40"/>
            </w:pPr>
            <w:r>
              <w:rPr>
                <w:b/>
              </w:rPr>
              <w:t xml:space="preserve">Typische Rechte</w:t>
            </w:r>
          </w:p>
        </w:tc>
      </w:tr>
      <w:tr>
        <w:tc>
          <w:tcPr>
            <w:tcW w:w="2200" w:type="dxa"/>
            <w:vAlign w:val="top"/>
          </w:tcPr>
          <w:p>
            <w:pPr>
              <w:spacing w:after="40"/>
            </w:pPr>
            <w:r>
              <w:t xml:space="preserve">Inhaber (Owner)</w:t>
            </w:r>
          </w:p>
        </w:tc>
        <w:tc>
          <w:tcPr>
            <w:tcW w:w="7300" w:type="dxa"/>
            <w:vAlign w:val="top"/>
          </w:tcPr>
          <w:p>
            <w:pPr>
              <w:spacing w:after="40"/>
            </w:pPr>
            <w:r>
              <w:t xml:space="preserve">Abo, Organisation, Benutzer, Exporte, Löschung, vollständige Fachadministration; mindestens ein aktiver Owner pro Kunde.</w:t>
            </w:r>
          </w:p>
        </w:tc>
      </w:tr>
      <w:tr>
        <w:tc>
          <w:tcPr>
            <w:tcW w:w="2200" w:type="dxa"/>
            <w:vAlign w:val="top"/>
          </w:tcPr>
          <w:p>
            <w:pPr>
              <w:spacing w:after="40"/>
            </w:pPr>
            <w:r>
              <w:t xml:space="preserve">Administrator</w:t>
            </w:r>
          </w:p>
        </w:tc>
        <w:tc>
          <w:tcPr>
            <w:tcW w:w="7300" w:type="dxa"/>
            <w:vAlign w:val="top"/>
          </w:tcPr>
          <w:p>
            <w:pPr>
              <w:spacing w:after="40"/>
            </w:pPr>
            <w:r>
              <w:t xml:space="preserve">Benutzerverwaltung ohne Eigentumsübertragung, Anlasskonfiguration, Teilnehmende, Resultate und Publikation.</w:t>
            </w:r>
          </w:p>
        </w:tc>
      </w:tr>
      <w:tr>
        <w:tc>
          <w:tcPr>
            <w:tcW w:w="2200" w:type="dxa"/>
            <w:vAlign w:val="top"/>
          </w:tcPr>
          <w:p>
            <w:pPr>
              <w:spacing w:after="40"/>
            </w:pPr>
            <w:r>
              <w:t xml:space="preserve">Operator/Zeitmessung</w:t>
            </w:r>
          </w:p>
        </w:tc>
        <w:tc>
          <w:tcPr>
            <w:tcW w:w="7300" w:type="dxa"/>
            <w:vAlign w:val="top"/>
          </w:tcPr>
          <w:p>
            <w:pPr>
              <w:spacing w:after="40"/>
            </w:pPr>
            <w:r>
              <w:t xml:space="preserve">Teilnehmende und Zeiten erfassen, Resultate bearbeiten; keine Abrechnung oder Kontolöschung.</w:t>
            </w:r>
          </w:p>
        </w:tc>
      </w:tr>
      <w:tr>
        <w:tc>
          <w:tcPr>
            <w:tcW w:w="2200" w:type="dxa"/>
            <w:vAlign w:val="top"/>
          </w:tcPr>
          <w:p>
            <w:pPr>
              <w:spacing w:after="40"/>
            </w:pPr>
            <w:r>
              <w:t xml:space="preserve">Betrachter</w:t>
            </w:r>
          </w:p>
        </w:tc>
        <w:tc>
          <w:tcPr>
            <w:tcW w:w="7300" w:type="dxa"/>
            <w:vAlign w:val="top"/>
          </w:tcPr>
          <w:p>
            <w:pPr>
              <w:spacing w:after="40"/>
            </w:pPr>
            <w:r>
              <w:t xml:space="preserve">Private Ranglisten und Auswertungen lesen; keine Änderungen.</w:t>
            </w:r>
          </w:p>
        </w:tc>
      </w:tr>
      <w:tr>
        <w:tc>
          <w:tcPr>
            <w:tcW w:w="2200" w:type="dxa"/>
            <w:vAlign w:val="top"/>
          </w:tcPr>
          <w:p>
            <w:pPr>
              <w:spacing w:after="40"/>
            </w:pPr>
            <w:r>
              <w:t xml:space="preserve">Plattformadministrator</w:t>
            </w:r>
          </w:p>
        </w:tc>
        <w:tc>
          <w:tcPr>
            <w:tcW w:w="7300" w:type="dxa"/>
            <w:vAlign w:val="top"/>
          </w:tcPr>
          <w:p>
            <w:pPr>
              <w:spacing w:after="40"/>
            </w:pPr>
            <w:r>
              <w:t xml:space="preserve">Kundenstatus, Provisionierung und Support; strikt von Kundenrollen getrennt und besonders geschützt.</w:t>
            </w:r>
          </w:p>
        </w:tc>
      </w:tr>
    </w:tbl>
    <w:p>
      <w:pPr>
        <w:spacing w:after="40"/>
      </w:pPr>
      <w:r>
        <w:t xml:space="preserve"/>
      </w:r>
    </w:p>
    <w:p>
      <w:pPr>
        <w:pStyle w:val="Heading2"/>
        <w:keepNext/>
      </w:pPr>
      <w:r>
        <w:t xml:space="preserve">9.3 Authentifizierungsfunktionen</w:t>
      </w:r>
    </w:p>
    <w:p>
      <w:pPr>
        <w:pStyle w:val="ListBullet"/>
        <w:ind w:left="360" w:hanging="240"/>
      </w:pPr>
      <w:r>
        <w:t xml:space="preserve">• Registrierung mit verifizierter E-Mail-Adresse.</w:t>
      </w:r>
    </w:p>
    <w:p>
      <w:pPr>
        <w:pStyle w:val="ListBullet"/>
        <w:ind w:left="360" w:hanging="240"/>
      </w:pPr>
      <w:r>
        <w:t xml:space="preserve">• Einladung mit einmaligem, zeitlich begrenztem Token.</w:t>
      </w:r>
    </w:p>
    <w:p>
      <w:pPr>
        <w:pStyle w:val="ListBullet"/>
        <w:ind w:left="360" w:hanging="240"/>
      </w:pPr>
      <w:r>
        <w:t xml:space="preserve">• Passwort-Reset ohne Preisgabe, ob eine Adresse registriert ist.</w:t>
      </w:r>
    </w:p>
    <w:p>
      <w:pPr>
        <w:pStyle w:val="ListBullet"/>
        <w:ind w:left="360" w:hanging="240"/>
      </w:pPr>
      <w:r>
        <w:t xml:space="preserve">• Starke Passwort-Hashverfahren über die aktuelle PHP-Passwort-API; niemals Klartext oder schneller SHA-Hash.</w:t>
      </w:r>
    </w:p>
    <w:p>
      <w:pPr>
        <w:pStyle w:val="ListBullet"/>
        <w:ind w:left="360" w:hanging="240"/>
      </w:pPr>
      <w:r>
        <w:t xml:space="preserve">• Rate Limiting und Schutz gegen automatisierte Anmeldeversuche.</w:t>
      </w:r>
    </w:p>
    <w:p>
      <w:pPr>
        <w:pStyle w:val="ListBullet"/>
        <w:ind w:left="360" w:hanging="240"/>
      </w:pPr>
      <w:r>
        <w:t xml:space="preserve">• Optionale beziehungsweise für Plattformadministratoren verpflichtende Mehrfaktor-Authentifizierung.</w:t>
      </w:r>
    </w:p>
    <w:p>
      <w:pPr>
        <w:pStyle w:val="ListBullet"/>
        <w:ind w:left="360" w:hanging="240"/>
      </w:pPr>
      <w:r>
        <w:t xml:space="preserve">• Sitzungsrotation nach Login und Rollenänderung; sofortiger Widerruf bei Sperrung.</w:t>
      </w:r>
    </w:p>
    <w:p>
      <w:pPr>
        <w:pStyle w:val="ListBullet"/>
        <w:ind w:left="360" w:hanging="240"/>
      </w:pPr>
      <w:r>
        <w:t xml:space="preserve">• Sicherheitsbenachrichtigung bei E-Mail-, Passwort- oder Owner-Änderungen.</w:t>
      </w:r>
    </w:p>
    <w:p>
      <w:pPr>
        <w:pStyle w:val="Heading2"/>
        <w:keepNext/>
      </w:pPr>
      <w:r>
        <w:t xml:space="preserve">9.4 Sitzungen und Subdomains</w:t>
      </w:r>
    </w:p>
    <w:p>
      <w:r>
        <w:t xml:space="preserve">Sitzungscookies sollten grundsätzlich hostgebunden sein und nicht pauschal für «.laufapp.ch» freigegeben werden. Ein kompromittierter oder fehlerhaft konfigurierter Subdomainbereich soll keine Sitzung eines anderen Kunden erhalten. Falls später Single Sign-on über mehrere Subdomains gewünscht wird, ist ein kontrollierter, kurzlebiger Anmelde-Handoff vorzusehen statt eines breit gültigen Parent-Domain-Cookies.</w:t>
      </w:r>
    </w:p>
    <w:p>
      <w:r>
        <w:t xml:space="preserve">Cookies erhalten Secure, HttpOnly und einen geeigneten SameSite-Wert. Authentifizierungstoken werden nicht in Local Storage abgelegt. OWASP weist darauf hin, dass eine gestohlene Session-ID einer vollständigen Benutzerübernahme gleichkommt und empfiehlt restriktive Cookie- sowie Cache-Einstellungen.</w:t>
      </w:r>
    </w:p>
    <w:p>
      <w:pPr>
        <w:pStyle w:val="Heading1"/>
        <w:keepNext/>
      </w:pPr>
      <w:r>
        <w:t xml:space="preserve">10. Abonnement- und Zahlungsmodell</w:t>
      </w:r>
    </w:p>
    <w:p>
      <w:pPr>
        <w:pStyle w:val="Heading2"/>
        <w:keepNext/>
      </w:pPr>
      <w:r>
        <w:t xml:space="preserve">10.1 Trennung von Zahlungsanbieter und Zugriffsentscheidung</w:t>
      </w:r>
    </w:p>
    <w:p>
      <w:r>
        <w:t xml:space="preserve">Der Zahlungsanbieter bleibt die Quelle für Rechnungen und Zahlungsereignisse. Die Plattform führt jedoch einen lokalen, synchronisierten Abostatus, damit nicht jeder Seitenaufruf vom Zahlungsanbieter abhängt. Änderungen werden über signierte Webhooks verarbeitet.</w:t>
      </w:r>
    </w:p>
    <w:p>
      <w:pPr>
        <w:pStyle w:val="Heading2"/>
        <w:keepNext/>
      </w:pPr>
      <w:r>
        <w:t xml:space="preserve">10.2 Empfohlene Abozustände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000"/>
        <w:gridCol w:w="3800"/>
        <w:gridCol w:w="3700"/>
      </w:tblGrid>
      <w:tr>
        <w:tc>
          <w:tcPr>
            <w:tcW w:w="2000" w:type="dxa"/>
            <w:shd w:val="clear" w:color="auto" w:fill="DDEBF7"/>
            <w:vAlign w:val="top"/>
          </w:tcPr>
          <w:p>
            <w:pPr>
              <w:spacing w:after="40"/>
            </w:pPr>
            <w:r>
              <w:rPr>
                <w:b/>
              </w:rPr>
              <w:t xml:space="preserve">Lokaler Status</w:t>
            </w:r>
          </w:p>
        </w:tc>
        <w:tc>
          <w:tcPr>
            <w:tcW w:w="3800" w:type="dxa"/>
            <w:shd w:val="clear" w:color="auto" w:fill="DDEBF7"/>
            <w:vAlign w:val="top"/>
          </w:tcPr>
          <w:p>
            <w:pPr>
              <w:spacing w:after="40"/>
            </w:pPr>
            <w:r>
              <w:rPr>
                <w:b/>
              </w:rPr>
              <w:t xml:space="preserve">Bedeutung</w:t>
            </w:r>
          </w:p>
        </w:tc>
        <w:tc>
          <w:tcPr>
            <w:tcW w:w="3700" w:type="dxa"/>
            <w:shd w:val="clear" w:color="auto" w:fill="DDEBF7"/>
            <w:vAlign w:val="top"/>
          </w:tcPr>
          <w:p>
            <w:pPr>
              <w:spacing w:after="40"/>
            </w:pPr>
            <w:r>
              <w:rPr>
                <w:b/>
              </w:rPr>
              <w:t xml:space="preserve">Zugriffsvorschlag</w:t>
            </w:r>
          </w:p>
        </w:tc>
      </w:tr>
      <w:tr>
        <w:tc>
          <w:tcPr>
            <w:tcW w:w="2000" w:type="dxa"/>
            <w:vAlign w:val="top"/>
          </w:tcPr>
          <w:p>
            <w:pPr>
              <w:spacing w:after="40"/>
            </w:pPr>
            <w:r>
              <w:t xml:space="preserve">pending_payment</w:t>
            </w:r>
          </w:p>
        </w:tc>
        <w:tc>
          <w:tcPr>
            <w:tcW w:w="3800" w:type="dxa"/>
            <w:vAlign w:val="top"/>
          </w:tcPr>
          <w:p>
            <w:pPr>
              <w:spacing w:after="40"/>
            </w:pPr>
            <w:r>
              <w:t xml:space="preserve">Checkout begonnen, Zahlung nicht bestätigt</w:t>
            </w:r>
          </w:p>
        </w:tc>
        <w:tc>
          <w:tcPr>
            <w:tcW w:w="3700" w:type="dxa"/>
            <w:vAlign w:val="top"/>
          </w:tcPr>
          <w:p>
            <w:pPr>
              <w:spacing w:after="40"/>
            </w:pPr>
            <w:r>
              <w:t xml:space="preserve">Noch kein produktiver Kundenbereich</w:t>
            </w:r>
          </w:p>
        </w:tc>
      </w:tr>
      <w:tr>
        <w:tc>
          <w:tcPr>
            <w:tcW w:w="2000" w:type="dxa"/>
            <w:vAlign w:val="top"/>
          </w:tcPr>
          <w:p>
            <w:pPr>
              <w:spacing w:after="40"/>
            </w:pPr>
            <w:r>
              <w:t xml:space="preserve">trialing</w:t>
            </w:r>
          </w:p>
        </w:tc>
        <w:tc>
          <w:tcPr>
            <w:tcW w:w="3800" w:type="dxa"/>
            <w:vAlign w:val="top"/>
          </w:tcPr>
          <w:p>
            <w:pPr>
              <w:spacing w:after="40"/>
            </w:pPr>
            <w:r>
              <w:t xml:space="preserve">Aktive Testphase</w:t>
            </w:r>
          </w:p>
        </w:tc>
        <w:tc>
          <w:tcPr>
            <w:tcW w:w="3700" w:type="dxa"/>
            <w:vAlign w:val="top"/>
          </w:tcPr>
          <w:p>
            <w:pPr>
              <w:spacing w:after="40"/>
            </w:pPr>
            <w:r>
              <w:t xml:space="preserve">Voller oder tariflich begrenzter Zugriff</w:t>
            </w:r>
          </w:p>
        </w:tc>
      </w:tr>
      <w:tr>
        <w:tc>
          <w:tcPr>
            <w:tcW w:w="2000" w:type="dxa"/>
            <w:vAlign w:val="top"/>
          </w:tcPr>
          <w:p>
            <w:pPr>
              <w:spacing w:after="40"/>
            </w:pPr>
            <w:r>
              <w:t xml:space="preserve">active</w:t>
            </w:r>
          </w:p>
        </w:tc>
        <w:tc>
          <w:tcPr>
            <w:tcW w:w="3800" w:type="dxa"/>
            <w:vAlign w:val="top"/>
          </w:tcPr>
          <w:p>
            <w:pPr>
              <w:spacing w:after="40"/>
            </w:pPr>
            <w:r>
              <w:t xml:space="preserve">Abo bezahlt und aktiv</w:t>
            </w:r>
          </w:p>
        </w:tc>
        <w:tc>
          <w:tcPr>
            <w:tcW w:w="3700" w:type="dxa"/>
            <w:vAlign w:val="top"/>
          </w:tcPr>
          <w:p>
            <w:pPr>
              <w:spacing w:after="40"/>
            </w:pPr>
            <w:r>
              <w:t xml:space="preserve">Voller Zugriff gemäss Tarif</w:t>
            </w:r>
          </w:p>
        </w:tc>
      </w:tr>
      <w:tr>
        <w:tc>
          <w:tcPr>
            <w:tcW w:w="2000" w:type="dxa"/>
            <w:vAlign w:val="top"/>
          </w:tcPr>
          <w:p>
            <w:pPr>
              <w:spacing w:after="40"/>
            </w:pPr>
            <w:r>
              <w:t xml:space="preserve">past_due</w:t>
            </w:r>
          </w:p>
        </w:tc>
        <w:tc>
          <w:tcPr>
            <w:tcW w:w="3800" w:type="dxa"/>
            <w:vAlign w:val="top"/>
          </w:tcPr>
          <w:p>
            <w:pPr>
              <w:spacing w:after="40"/>
            </w:pPr>
            <w:r>
              <w:t xml:space="preserve">Zahlung fehlgeschlagen oder ausstehend</w:t>
            </w:r>
          </w:p>
        </w:tc>
        <w:tc>
          <w:tcPr>
            <w:tcW w:w="3700" w:type="dxa"/>
            <w:vAlign w:val="top"/>
          </w:tcPr>
          <w:p>
            <w:pPr>
              <w:spacing w:after="40"/>
            </w:pPr>
            <w:r>
              <w:t xml:space="preserve">Kulanzfrist; Warnbanner; Veranstaltung nicht abrupt unterbrechen</w:t>
            </w:r>
          </w:p>
        </w:tc>
      </w:tr>
      <w:tr>
        <w:tc>
          <w:tcPr>
            <w:tcW w:w="2000" w:type="dxa"/>
            <w:vAlign w:val="top"/>
          </w:tcPr>
          <w:p>
            <w:pPr>
              <w:spacing w:after="40"/>
            </w:pPr>
            <w:r>
              <w:t xml:space="preserve">restricted</w:t>
            </w:r>
          </w:p>
        </w:tc>
        <w:tc>
          <w:tcPr>
            <w:tcW w:w="3800" w:type="dxa"/>
            <w:vAlign w:val="top"/>
          </w:tcPr>
          <w:p>
            <w:pPr>
              <w:spacing w:after="40"/>
            </w:pPr>
            <w:r>
              <w:t xml:space="preserve">Kulanzfrist abgelaufen</w:t>
            </w:r>
          </w:p>
        </w:tc>
        <w:tc>
          <w:tcPr>
            <w:tcW w:w="3700" w:type="dxa"/>
            <w:vAlign w:val="top"/>
          </w:tcPr>
          <w:p>
            <w:pPr>
              <w:spacing w:after="40"/>
            </w:pPr>
            <w:r>
              <w:t xml:space="preserve">Vorgeschlagen: Lesen und Export erlauben, Änderungen sperren</w:t>
            </w:r>
          </w:p>
        </w:tc>
      </w:tr>
      <w:tr>
        <w:tc>
          <w:tcPr>
            <w:tcW w:w="2000" w:type="dxa"/>
            <w:vAlign w:val="top"/>
          </w:tcPr>
          <w:p>
            <w:pPr>
              <w:spacing w:after="40"/>
            </w:pPr>
            <w:r>
              <w:t xml:space="preserve">cancel_at_period_end</w:t>
            </w:r>
          </w:p>
        </w:tc>
        <w:tc>
          <w:tcPr>
            <w:tcW w:w="3800" w:type="dxa"/>
            <w:vAlign w:val="top"/>
          </w:tcPr>
          <w:p>
            <w:pPr>
              <w:spacing w:after="40"/>
            </w:pPr>
            <w:r>
              <w:t xml:space="preserve">Kündigung vorgemerkt</w:t>
            </w:r>
          </w:p>
        </w:tc>
        <w:tc>
          <w:tcPr>
            <w:tcW w:w="3700" w:type="dxa"/>
            <w:vAlign w:val="top"/>
          </w:tcPr>
          <w:p>
            <w:pPr>
              <w:spacing w:after="40"/>
            </w:pPr>
            <w:r>
              <w:t xml:space="preserve">Zugriff bis Periodenende</w:t>
            </w:r>
          </w:p>
        </w:tc>
      </w:tr>
      <w:tr>
        <w:tc>
          <w:tcPr>
            <w:tcW w:w="2000" w:type="dxa"/>
            <w:vAlign w:val="top"/>
          </w:tcPr>
          <w:p>
            <w:pPr>
              <w:spacing w:after="40"/>
            </w:pPr>
            <w:r>
              <w:t xml:space="preserve">canceled</w:t>
            </w:r>
          </w:p>
        </w:tc>
        <w:tc>
          <w:tcPr>
            <w:tcW w:w="3800" w:type="dxa"/>
            <w:vAlign w:val="top"/>
          </w:tcPr>
          <w:p>
            <w:pPr>
              <w:spacing w:after="40"/>
            </w:pPr>
            <w:r>
              <w:t xml:space="preserve">Abo beendet</w:t>
            </w:r>
          </w:p>
        </w:tc>
        <w:tc>
          <w:tcPr>
            <w:tcW w:w="3700" w:type="dxa"/>
            <w:vAlign w:val="top"/>
          </w:tcPr>
          <w:p>
            <w:pPr>
              <w:spacing w:after="40"/>
            </w:pPr>
            <w:r>
              <w:t xml:space="preserve">Offboarding- und Aufbewahrungsphase</w:t>
            </w:r>
          </w:p>
        </w:tc>
      </w:tr>
      <w:tr>
        <w:tc>
          <w:tcPr>
            <w:tcW w:w="2000" w:type="dxa"/>
            <w:vAlign w:val="top"/>
          </w:tcPr>
          <w:p>
            <w:pPr>
              <w:spacing w:after="40"/>
            </w:pPr>
            <w:r>
              <w:t xml:space="preserve">suspended</w:t>
            </w:r>
          </w:p>
        </w:tc>
        <w:tc>
          <w:tcPr>
            <w:tcW w:w="3800" w:type="dxa"/>
            <w:vAlign w:val="top"/>
          </w:tcPr>
          <w:p>
            <w:pPr>
              <w:spacing w:after="40"/>
            </w:pPr>
            <w:r>
              <w:t xml:space="preserve">Administrative oder sicherheitsbedingte Sperre</w:t>
            </w:r>
          </w:p>
        </w:tc>
        <w:tc>
          <w:tcPr>
            <w:tcW w:w="3700" w:type="dxa"/>
            <w:vAlign w:val="top"/>
          </w:tcPr>
          <w:p>
            <w:pPr>
              <w:spacing w:after="40"/>
            </w:pPr>
            <w:r>
              <w:t xml:space="preserve">Kein normaler Zugriff; Supportweg anzeigen</w:t>
            </w:r>
          </w:p>
        </w:tc>
      </w:tr>
    </w:tbl>
    <w:p>
      <w:pPr>
        <w:spacing w:after="40"/>
      </w:pPr>
      <w:r>
        <w:t xml:space="preserve"/>
      </w:r>
    </w:p>
    <w:p>
      <w:pPr>
        <w:pStyle w:val="Heading2"/>
        <w:keepNext/>
      </w:pPr>
      <w:r>
        <w:t xml:space="preserve">10.3 Webhook-Verarbeitung</w:t>
      </w:r>
    </w:p>
    <w:p>
      <w:pPr>
        <w:pStyle w:val="ListNumber"/>
        <w:ind w:left="360" w:hanging="300"/>
      </w:pPr>
      <w:r>
        <w:rPr>
          <w:b/>
          <w:color w:val="176B87"/>
        </w:rPr>
        <w:t xml:space="preserve">1  </w:t>
      </w:r>
      <w:r>
        <w:t xml:space="preserve">Webhook-Endpunkt empfängt den unveränderten Request-Body.</w:t>
      </w:r>
    </w:p>
    <w:p>
      <w:pPr>
        <w:pStyle w:val="ListNumber"/>
        <w:ind w:left="360" w:hanging="300"/>
      </w:pPr>
      <w:r>
        <w:rPr>
          <w:b/>
          <w:color w:val="176B87"/>
        </w:rPr>
        <w:t xml:space="preserve">2  </w:t>
      </w:r>
      <w:r>
        <w:t xml:space="preserve">Signatur und Zeitstempel werden mit dem geheimen Webhook-Schlüssel geprüft.</w:t>
      </w:r>
    </w:p>
    <w:p>
      <w:pPr>
        <w:pStyle w:val="ListNumber"/>
        <w:ind w:left="360" w:hanging="300"/>
      </w:pPr>
      <w:r>
        <w:rPr>
          <w:b/>
          <w:color w:val="176B87"/>
        </w:rPr>
        <w:t xml:space="preserve">3  </w:t>
      </w:r>
      <w:r>
        <w:t xml:space="preserve">Provider-Ereignis-ID wird in einer eindeutigen Tabelle registriert.</w:t>
      </w:r>
    </w:p>
    <w:p>
      <w:pPr>
        <w:pStyle w:val="ListNumber"/>
        <w:ind w:left="360" w:hanging="300"/>
      </w:pPr>
      <w:r>
        <w:rPr>
          <w:b/>
          <w:color w:val="176B87"/>
        </w:rPr>
        <w:t xml:space="preserve">4  </w:t>
      </w:r>
      <w:r>
        <w:t xml:space="preserve">Bereits verarbeitete Ereignisse werden ohne doppelte Wirkung bestätigt.</w:t>
      </w:r>
    </w:p>
    <w:p>
      <w:pPr>
        <w:pStyle w:val="ListNumber"/>
        <w:ind w:left="360" w:hanging="300"/>
      </w:pPr>
      <w:r>
        <w:rPr>
          <w:b/>
          <w:color w:val="176B87"/>
        </w:rPr>
        <w:t xml:space="preserve">5  </w:t>
      </w:r>
      <w:r>
        <w:t xml:space="preserve">Ereignis wird in einen Hintergrundauftrag überführt und schnell mit HTTP-Erfolg beantwortet.</w:t>
      </w:r>
    </w:p>
    <w:p>
      <w:pPr>
        <w:pStyle w:val="ListNumber"/>
        <w:ind w:left="360" w:hanging="300"/>
      </w:pPr>
      <w:r>
        <w:rPr>
          <w:b/>
          <w:color w:val="176B87"/>
        </w:rPr>
        <w:t xml:space="preserve">6  </w:t>
      </w:r>
      <w:r>
        <w:t xml:space="preserve">Der Worker aktualisiert Abo- und Berechtigungsstatus transaktional.</w:t>
      </w:r>
    </w:p>
    <w:p>
      <w:pPr>
        <w:pStyle w:val="ListNumber"/>
        <w:ind w:left="360" w:hanging="300"/>
      </w:pPr>
      <w:r>
        <w:rPr>
          <w:b/>
          <w:color w:val="176B87"/>
        </w:rPr>
        <w:t xml:space="preserve">7  </w:t>
      </w:r>
      <w:r>
        <w:t xml:space="preserve">Fehler werden mit Backoff wiederholt und lösen nach mehreren Versuchen einen Alarm aus.</w:t>
      </w:r>
    </w:p>
    <w:p>
      <w:r>
        <w:t xml:space="preserve">Abonnements sind asynchron: Erstellung, Verlängerung, Zahlungsfehler, Authentifizierungsbedarf und Kündigung können zeitversetzt eintreten. Stripe dokumentiert deshalb die Verwaltung über Webhook-Ereignisse wie invoice.paid, invoice.payment_failed und subscription.updated. Die Checkout-Erfolgsseite allein darf keine Provisionierung autorisieren.</w:t>
      </w:r>
    </w:p>
    <w:p>
      <w:pPr>
        <w:pStyle w:val="Heading2"/>
        <w:keepNext/>
      </w:pPr>
      <w:r>
        <w:t xml:space="preserve">10.4 Kundenportal</w:t>
      </w:r>
    </w:p>
    <w:p>
      <w:r>
        <w:t xml:space="preserve">Ein gehostetes Kundenportal des Zahlungsanbieters kann Zahlungsmittel, Rechnungen, Firmenadresse, Tarifwechsel und Kündigung abdecken. Dadurch werden Umfang und Sicherheitsrisiko eigener Zahlungsformulare reduziert. Die Plattform zeigt lediglich den synchronisierten Status und führt kontrolliert zum Portal.</w:t>
      </w:r>
    </w:p>
    <w:p>
      <w:pPr>
        <w:pStyle w:val="Heading2"/>
        <w:keepNext/>
      </w:pPr>
      <w:r>
        <w:t xml:space="preserve">10.5 Kulanz- und Veranstaltungsschutz</w:t>
      </w:r>
    </w:p>
    <w:p>
      <w:r>
        <w:t xml:space="preserve">Ein sofortiger Schreibstopp nach einem einzelnen fehlgeschlagenen Einzug wäre während eines Anlasses problematisch. Das Geschäftsmodell sollte eine definierte Kulanzfrist vorsehen. Optional kann der Plattform-Support eine zeitlich begrenzte, auditierte Notfallfreigabe erteilen. Diese Regel muss vertraglich und technisch eindeutig sein.</w:t>
      </w:r>
    </w:p>
    <w:p>
      <w:pPr>
        <w:pStyle w:val="Heading2"/>
        <w:keepNext/>
      </w:pPr>
      <w:r>
        <w:t xml:space="preserve">10.6 Rechnungs- und Steuerfragen</w:t>
      </w:r>
    </w:p>
    <w:p>
      <w:r>
        <w:t xml:space="preserve">Zahlungsanbieter, Währungen, Mehrwertsteuerbehandlung, Rechnungsanforderungen, Jahres- versus Monatsabo und allfälliger Kauf auf Rechnung sind separat mit Treuhand beziehungsweise Steuerberatung zu klären. Das Datenmodell darf diese Auswahl nicht unnötig auf einen einzigen Anbieter festschreiben.</w:t>
      </w:r>
    </w:p>
    <w:p>
      <w:pPr>
        <w:pStyle w:val="Heading1"/>
        <w:keepNext/>
      </w:pPr>
      <w:r>
        <w:t xml:space="preserve">11. Automatische Bereitstellung eines Kunden</w:t>
      </w:r>
    </w:p>
    <w:p>
      <w:pPr>
        <w:pStyle w:val="Heading2"/>
        <w:keepNext/>
      </w:pPr>
      <w:r>
        <w:t xml:space="preserve">11.1 Grundprinzip</w:t>
      </w:r>
    </w:p>
    <w:p>
      <w:r>
        <w:t xml:space="preserve">Provisionierung ist kein einzelner Request, sondern ein wiederholbarer Prozess mit gespeichertem Zustand. Jeder Schritt muss nach einem Abbruch erneut ausgeführt werden können, ohne doppelte Datenbanken, Benutzer oder Abos zu erzeugen.</w:t>
      </w:r>
    </w:p>
    <w:p>
      <w:pPr>
        <w:pStyle w:val="Heading2"/>
        <w:keepNext/>
      </w:pPr>
      <w:r>
        <w:t xml:space="preserve">11.2 Vorgeschlagene Schritte</w:t>
      </w:r>
    </w:p>
    <w:p>
      <w:pPr>
        <w:pStyle w:val="ListNumber"/>
        <w:ind w:left="360" w:hanging="300"/>
      </w:pPr>
      <w:r>
        <w:rPr>
          <w:b/>
          <w:color w:val="176B87"/>
        </w:rPr>
        <w:t xml:space="preserve">1  </w:t>
      </w:r>
      <w:r>
        <w:t xml:space="preserve">Organisation und gewünschte Subdomain als Entwurf anlegen.</w:t>
      </w:r>
    </w:p>
    <w:p>
      <w:pPr>
        <w:pStyle w:val="ListNumber"/>
        <w:ind w:left="360" w:hanging="300"/>
      </w:pPr>
      <w:r>
        <w:rPr>
          <w:b/>
          <w:color w:val="176B87"/>
        </w:rPr>
        <w:t xml:space="preserve">2  </w:t>
      </w:r>
      <w:r>
        <w:t xml:space="preserve">E-Mail-Adresse verifizieren und Subdomain zeitlich reservieren.</w:t>
      </w:r>
    </w:p>
    <w:p>
      <w:pPr>
        <w:pStyle w:val="ListNumber"/>
        <w:ind w:left="360" w:hanging="300"/>
      </w:pPr>
      <w:r>
        <w:rPr>
          <w:b/>
          <w:color w:val="176B87"/>
        </w:rPr>
        <w:t xml:space="preserve">3  </w:t>
      </w:r>
      <w:r>
        <w:t xml:space="preserve">Checkout beziehungsweise Aboabschluss starten.</w:t>
      </w:r>
    </w:p>
    <w:p>
      <w:pPr>
        <w:pStyle w:val="ListNumber"/>
        <w:ind w:left="360" w:hanging="300"/>
      </w:pPr>
      <w:r>
        <w:rPr>
          <w:b/>
          <w:color w:val="176B87"/>
        </w:rPr>
        <w:t xml:space="preserve">4  </w:t>
      </w:r>
      <w:r>
        <w:t xml:space="preserve">Zahlungsbestätigung über verifiziertes Webhook-Ereignis erhalten.</w:t>
      </w:r>
    </w:p>
    <w:p>
      <w:pPr>
        <w:pStyle w:val="ListNumber"/>
        <w:ind w:left="360" w:hanging="300"/>
      </w:pPr>
      <w:r>
        <w:rPr>
          <w:b/>
          <w:color w:val="176B87"/>
        </w:rPr>
        <w:t xml:space="preserve">5  </w:t>
      </w:r>
      <w:r>
        <w:t xml:space="preserve">Mandantenstatus auf provisioning setzen und eindeutigen Auftrag erzeugen.</w:t>
      </w:r>
    </w:p>
    <w:p>
      <w:pPr>
        <w:pStyle w:val="ListNumber"/>
        <w:ind w:left="360" w:hanging="300"/>
      </w:pPr>
      <w:r>
        <w:rPr>
          <w:b/>
          <w:color w:val="176B87"/>
        </w:rPr>
        <w:t xml:space="preserve">6  </w:t>
      </w:r>
      <w:r>
        <w:t xml:space="preserve">Datenbankname und eigenen Datenbankbenutzer sicher erzeugen.</w:t>
      </w:r>
    </w:p>
    <w:p>
      <w:pPr>
        <w:pStyle w:val="ListNumber"/>
        <w:ind w:left="360" w:hanging="300"/>
      </w:pPr>
      <w:r>
        <w:rPr>
          <w:b/>
          <w:color w:val="176B87"/>
        </w:rPr>
        <w:t xml:space="preserve">7  </w:t>
      </w:r>
      <w:r>
        <w:t xml:space="preserve">Aktuelles Basisschema und sämtliche erforderlichen Migrationen installieren.</w:t>
      </w:r>
    </w:p>
    <w:p>
      <w:pPr>
        <w:pStyle w:val="ListNumber"/>
        <w:ind w:left="360" w:hanging="300"/>
      </w:pPr>
      <w:r>
        <w:rPr>
          <w:b/>
          <w:color w:val="176B87"/>
        </w:rPr>
        <w:t xml:space="preserve">8  </w:t>
      </w:r>
      <w:r>
        <w:t xml:space="preserve">Dateiablage beziehungsweise Objektpräfix anlegen.</w:t>
      </w:r>
    </w:p>
    <w:p>
      <w:pPr>
        <w:pStyle w:val="ListNumber"/>
        <w:ind w:left="360" w:hanging="300"/>
      </w:pPr>
      <w:r>
        <w:rPr>
          <w:b/>
          <w:color w:val="176B87"/>
        </w:rPr>
        <w:t xml:space="preserve">9  </w:t>
      </w:r>
      <w:r>
        <w:t xml:space="preserve">Owner-Mitgliedschaft und Grundeinstellungen erzeugen.</w:t>
      </w:r>
    </w:p>
    <w:p>
      <w:pPr>
        <w:pStyle w:val="ListNumber"/>
        <w:ind w:left="360" w:hanging="300"/>
      </w:pPr>
      <w:r>
        <w:rPr>
          <w:b/>
          <w:color w:val="176B87"/>
        </w:rPr>
        <w:t xml:space="preserve">10  </w:t>
      </w:r>
      <w:r>
        <w:t xml:space="preserve">Automatische Integritäts- und Verbindungstests ausführen.</w:t>
      </w:r>
    </w:p>
    <w:p>
      <w:pPr>
        <w:pStyle w:val="ListNumber"/>
        <w:ind w:left="360" w:hanging="300"/>
      </w:pPr>
      <w:r>
        <w:rPr>
          <w:b/>
          <w:color w:val="176B87"/>
        </w:rPr>
        <w:t xml:space="preserve">11  </w:t>
      </w:r>
      <w:r>
        <w:t xml:space="preserve">Mandant und Domain atomar auf active setzen.</w:t>
      </w:r>
    </w:p>
    <w:p>
      <w:pPr>
        <w:pStyle w:val="ListNumber"/>
        <w:ind w:left="360" w:hanging="300"/>
      </w:pPr>
      <w:r>
        <w:rPr>
          <w:b/>
          <w:color w:val="176B87"/>
        </w:rPr>
        <w:t xml:space="preserve">12  </w:t>
      </w:r>
      <w:r>
        <w:t xml:space="preserve">Willkommens-E-Mail mit Link und Einrichtungscheckliste senden.</w:t>
      </w:r>
    </w:p>
    <w:p>
      <w:pPr>
        <w:pStyle w:val="Heading2"/>
        <w:keepNext/>
      </w:pPr>
      <w:r>
        <w:t xml:space="preserve">11.3 Fehlerbehandlung</w:t>
      </w:r>
    </w:p>
    <w:p>
      <w:pPr>
        <w:pStyle w:val="ListBullet"/>
        <w:ind w:left="360" w:hanging="240"/>
      </w:pPr>
      <w:r>
        <w:t xml:space="preserve">• Provisionierungsfehler führen zu provision_failed und nicht zu einem halbfertigen aktiven Kunden.</w:t>
      </w:r>
    </w:p>
    <w:p>
      <w:pPr>
        <w:pStyle w:val="ListBullet"/>
        <w:ind w:left="360" w:hanging="240"/>
      </w:pPr>
      <w:r>
        <w:t xml:space="preserve">• Teilressourcen werden kontrolliert entfernt oder für einen sicheren Retry markiert.</w:t>
      </w:r>
    </w:p>
    <w:p>
      <w:pPr>
        <w:pStyle w:val="ListBullet"/>
        <w:ind w:left="360" w:hanging="240"/>
      </w:pPr>
      <w:r>
        <w:t xml:space="preserve">• Der Auftrag speichert Schritt, Versuchszahl und eine bereinigte Fehlermeldung.</w:t>
      </w:r>
    </w:p>
    <w:p>
      <w:pPr>
        <w:pStyle w:val="ListBullet"/>
        <w:ind w:left="360" w:hanging="240"/>
      </w:pPr>
      <w:r>
        <w:t xml:space="preserve">• Der Kunde sieht eine verständliche Statusseite; interne Zugangsdaten oder Stacktraces werden nie angezeigt.</w:t>
      </w:r>
    </w:p>
    <w:p>
      <w:pPr>
        <w:pStyle w:val="ListBullet"/>
        <w:ind w:left="360" w:hanging="240"/>
      </w:pPr>
      <w:r>
        <w:t xml:space="preserve">• Nach mehreren Fehlern wird der Plattformbetrieb alarmiert.</w:t>
      </w:r>
    </w:p>
    <w:p>
      <w:pPr>
        <w:pStyle w:val="ListBullet"/>
        <w:ind w:left="360" w:hanging="240"/>
      </w:pPr>
      <w:r>
        <w:t xml:space="preserve">• Für bezahlte, aber dauerhaft fehlgeschlagene Bereitstellungen existiert ein klarer Support- und Rückerstattungsprozess.</w:t>
      </w:r>
    </w:p>
    <w:p>
      <w:pPr>
        <w:pStyle w:val="Heading2"/>
        <w:keepNext/>
      </w:pPr>
      <w:r>
        <w:t xml:space="preserve">11.4 Keine individuelle DNS-Erstellung nötig</w:t>
      </w:r>
    </w:p>
    <w:p>
      <w:r>
        <w:t xml:space="preserve">Bei korrekt eingerichtetem Wildcard-DNS besteht die «Erstellung der Subdomain» fachlich aus der Registrierung und Aktivierung der Domainzuordnung. Das verkürzt die Bereitstellung und entfernt DNS-Propagationszeiten aus dem Kunden-Onboarding.</w:t>
      </w:r>
    </w:p>
    <w:p>
      <w:pPr>
        <w:pStyle w:val="Heading1"/>
        <w:keepNext/>
      </w:pPr>
      <w:r>
        <w:t xml:space="preserve">12. Kundenlebenszyklus</w:t>
      </w:r>
    </w:p>
    <w:p>
      <w:pPr>
        <w:pStyle w:val="Heading2"/>
        <w:keepNext/>
      </w:pPr>
      <w:r>
        <w:t xml:space="preserve">12.1 Statusmodell des Mandanten</w:t>
      </w:r>
    </w:p>
    <w:p>
      <w:pPr>
        <w:pStyle w:val="Code"/>
        <w:spacing w:after="0"/>
        <w:shd w:val="clear" w:color="auto" w:fill="F3F5F7"/>
        <w:ind w:left="160" w:right="160"/>
      </w:pPr>
      <w:r>
        <w:rPr>
          <w:rFonts w:ascii="Consolas" w:hAnsi="Consolas"/>
        </w:rPr>
        <w:t xml:space="preserve">draft → pending_payment → provisioning → active</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 past_due → restricted → active</w:t>
      </w:r>
    </w:p>
    <w:p>
      <w:pPr>
        <w:pStyle w:val="Code"/>
        <w:spacing w:after="0"/>
        <w:shd w:val="clear" w:color="auto" w:fill="F3F5F7"/>
        <w:ind w:left="160" w:right="160"/>
      </w:pPr>
      <w:r>
        <w:rPr>
          <w:rFonts w:ascii="Consolas" w:hAnsi="Consolas"/>
        </w:rPr>
        <w:t xml:space="preserve">                                  ├→ suspended → active</w:t>
      </w:r>
    </w:p>
    <w:p>
      <w:pPr>
        <w:pStyle w:val="Code"/>
        <w:spacing w:after="0"/>
        <w:shd w:val="clear" w:color="auto" w:fill="F3F5F7"/>
        <w:ind w:left="160" w:right="160"/>
      </w:pPr>
      <w:r>
        <w:rPr>
          <w:rFonts w:ascii="Consolas" w:hAnsi="Consolas"/>
        </w:rPr>
        <w:t xml:space="preserve">                                  └→ offboarding → retained → deleted</w:t>
      </w:r>
    </w:p>
    <w:p>
      <w:pPr>
        <w:pStyle w:val="Code"/>
        <w:spacing w:after="0"/>
        <w:shd w:val="clear" w:color="auto" w:fill="F3F5F7"/>
        <w:ind w:left="160" w:right="160"/>
      </w:pPr>
      <w:r>
        <w:rPr>
          <w:rFonts w:ascii="Consolas" w:hAnsi="Consolas"/>
        </w:rPr>
        <w:t xml:space="preserve">provisioning → provision_failed → provisioning (Retry)</w:t>
      </w:r>
    </w:p>
    <w:p>
      <w:pPr>
        <w:spacing w:after="60"/>
      </w:pPr>
      <w:r>
        <w:t xml:space="preserve"/>
      </w:r>
    </w:p>
    <w:p>
      <w:pPr>
        <w:pStyle w:val="Heading2"/>
        <w:keepNext/>
      </w:pPr>
      <w:r>
        <w:t xml:space="preserve">12.2 Kündigung</w:t>
      </w:r>
    </w:p>
    <w:p>
      <w:r>
        <w:t xml:space="preserve">Eine Kündigung beendet normalerweise die automatische Verlängerung, nicht sofort den Zugriff. Bis zum bezahlten Periodenende bleibt das Konto aktiv. Danach beginnt eine definierte Aufbewahrungsphase, beispielsweise 30 oder 60 Tage. Während dieser Phase kann der Owner Daten exportieren oder das Abo reaktivieren.</w:t>
      </w:r>
    </w:p>
    <w:p>
      <w:pPr>
        <w:pStyle w:val="Heading2"/>
        <w:keepNext/>
      </w:pPr>
      <w:r>
        <w:t xml:space="preserve">12.3 Datenexport</w:t>
      </w:r>
    </w:p>
    <w:p>
      <w:r>
        <w:t xml:space="preserve">Vor der endgültigen Löschung erhält der Kunde einen maschinenlesbaren Export. Dieser sollte mindestens CSV-/JSON-Daten, relevante PDF-Dokumente, Einstellungen und eine Manifestdatei mit Exportdatum und Schema-Version enthalten. Der Export wird verschlüsselt oder nur über einen kurzlebigen, authentifizierten Download bereitgestellt.</w:t>
      </w:r>
    </w:p>
    <w:p>
      <w:pPr>
        <w:pStyle w:val="Heading2"/>
        <w:keepNext/>
      </w:pPr>
      <w:r>
        <w:t xml:space="preserve">12.4 Löschung</w:t>
      </w:r>
    </w:p>
    <w:p>
      <w:r>
        <w:t xml:space="preserve">Nach Ablauf der Frist werden Kundendatenbank, private Dateien, aktive Sitzungen, API-Schlüssel und technische Kundengeheimnisse entfernt. Minimale Abrechnungs- oder Auditdaten dürfen nur entsprechend dokumentierter gesetzlicher oder berechtigter Aufbewahrungspflichten verbleiben. Backups werden nicht selektiv manipuliert, aber durch den normalen Rotationszyklus endgültig entfernt; der Kunde ist darüber transparent zu informieren.</w:t>
      </w:r>
    </w:p>
    <w:p>
      <w:pPr>
        <w:pStyle w:val="Heading2"/>
        <w:keepNext/>
      </w:pPr>
      <w:r>
        <w:t xml:space="preserve">12.5 Eigentümerwechsel</w:t>
      </w:r>
    </w:p>
    <w:p>
      <w:r>
        <w:t xml:space="preserve">Die Übertragung der Owner-Rolle ist ein sicherheitskritischer Vorgang. Sie erfordert erneute Authentifizierung, Bestätigung durch den bisherigen Owner oder einen dokumentierten Supportprozess sowie Auditierung. Ein Kunde darf nie ohne aktiven Owner verbleiben.</w:t>
      </w:r>
    </w:p>
    <w:p>
      <w:pPr>
        <w:pStyle w:val="Heading1"/>
        <w:keepNext/>
      </w:pPr>
      <w:r>
        <w:t xml:space="preserve">13. Erweiterungen der Laufanlass-Applikation</w:t>
      </w:r>
    </w:p>
    <w:p>
      <w:pPr>
        <w:pStyle w:val="Heading2"/>
        <w:keepNext/>
      </w:pPr>
      <w:r>
        <w:t xml:space="preserve">13.1 Zentrale technische Erweiterungen</w:t>
      </w:r>
    </w:p>
    <w:p>
      <w:pPr>
        <w:pStyle w:val="ListBullet"/>
        <w:ind w:left="360" w:hanging="240"/>
      </w:pPr>
      <w:r>
        <w:t xml:space="preserve">• Saubere Trennung zwischen Plattformkontext, Benutzerkontext, Mandantenkontext und fachlichem Anlasskontext.</w:t>
      </w:r>
    </w:p>
    <w:p>
      <w:pPr>
        <w:pStyle w:val="ListBullet"/>
        <w:ind w:left="360" w:hanging="240"/>
      </w:pPr>
      <w:r>
        <w:t xml:space="preserve">• Mandantenfähige Datenbankverbindungsfabrik statt einer einzigen statischen database.php.</w:t>
      </w:r>
    </w:p>
    <w:p>
      <w:pPr>
        <w:pStyle w:val="ListBullet"/>
        <w:ind w:left="360" w:hanging="240"/>
      </w:pPr>
      <w:r>
        <w:t xml:space="preserve">• Authentifizierungs- und Autorisierungsmiddleware vor sämtlichen privaten Routen.</w:t>
      </w:r>
    </w:p>
    <w:p>
      <w:pPr>
        <w:pStyle w:val="ListBullet"/>
        <w:ind w:left="360" w:hanging="240"/>
      </w:pPr>
      <w:r>
        <w:t xml:space="preserve">• Data-Access-Schicht beziehungsweise Repositories mit zentralen Eigentumsprüfungen.</w:t>
      </w:r>
    </w:p>
    <w:p>
      <w:pPr>
        <w:pStyle w:val="ListBullet"/>
        <w:ind w:left="360" w:hanging="240"/>
      </w:pPr>
      <w:r>
        <w:t xml:space="preserve">• Hintergrundjobs für Provisionierung, E-Mail, Webhooks, Exporte und Migrationen.</w:t>
      </w:r>
    </w:p>
    <w:p>
      <w:pPr>
        <w:pStyle w:val="ListBullet"/>
        <w:ind w:left="360" w:hanging="240"/>
      </w:pPr>
      <w:r>
        <w:t xml:space="preserve">• Zentrale Konfiguration und Secret-Verwaltung.</w:t>
      </w:r>
    </w:p>
    <w:p>
      <w:pPr>
        <w:pStyle w:val="ListBullet"/>
        <w:ind w:left="360" w:hanging="240"/>
      </w:pPr>
      <w:r>
        <w:t xml:space="preserve">• Audit-Service für relevante Änderungen.</w:t>
      </w:r>
    </w:p>
    <w:p>
      <w:pPr>
        <w:pStyle w:val="ListBullet"/>
        <w:ind w:left="360" w:hanging="240"/>
      </w:pPr>
      <w:r>
        <w:t xml:space="preserve">• Feature- und Tarifprüfung auf Serverseite.</w:t>
      </w:r>
    </w:p>
    <w:p>
      <w:pPr>
        <w:pStyle w:val="ListBullet"/>
        <w:ind w:left="360" w:hanging="240"/>
      </w:pPr>
      <w:r>
        <w:t xml:space="preserve">• Einheitliche Fehlerseiten ohne technische Detailoffenlegung.</w:t>
      </w:r>
    </w:p>
    <w:p>
      <w:pPr>
        <w:pStyle w:val="Heading2"/>
        <w:keepNext/>
      </w:pPr>
      <w:r>
        <w:t xml:space="preserve">13.2 Kundenadministration</w:t>
      </w:r>
    </w:p>
    <w:p>
      <w:pPr>
        <w:pStyle w:val="ListBullet"/>
        <w:ind w:left="360" w:hanging="240"/>
      </w:pPr>
      <w:r>
        <w:t xml:space="preserve">• Organisation, Kontakt- und Rechnungsdaten verwalten.</w:t>
      </w:r>
    </w:p>
    <w:p>
      <w:pPr>
        <w:pStyle w:val="ListBullet"/>
        <w:ind w:left="360" w:hanging="240"/>
      </w:pPr>
      <w:r>
        <w:t xml:space="preserve">• Subdomain anzeigen und später kontrolliert umbenennen.</w:t>
      </w:r>
    </w:p>
    <w:p>
      <w:pPr>
        <w:pStyle w:val="ListBullet"/>
        <w:ind w:left="360" w:hanging="240"/>
      </w:pPr>
      <w:r>
        <w:t xml:space="preserve">• Logo, Farben und Druckangaben verwalten.</w:t>
      </w:r>
    </w:p>
    <w:p>
      <w:pPr>
        <w:pStyle w:val="ListBullet"/>
        <w:ind w:left="360" w:hanging="240"/>
      </w:pPr>
      <w:r>
        <w:t xml:space="preserve">• Benutzer einladen, Rollen ändern und Zugriffe entziehen.</w:t>
      </w:r>
    </w:p>
    <w:p>
      <w:pPr>
        <w:pStyle w:val="ListBullet"/>
        <w:ind w:left="360" w:hanging="240"/>
      </w:pPr>
      <w:r>
        <w:t xml:space="preserve">• Abo, Tarif, Periodenende, Limiten und Rechnungsportal anzeigen.</w:t>
      </w:r>
    </w:p>
    <w:p>
      <w:pPr>
        <w:pStyle w:val="ListBullet"/>
        <w:ind w:left="360" w:hanging="240"/>
      </w:pPr>
      <w:r>
        <w:t xml:space="preserve">• Datenexport, Kündigung und Löschantrag verwalten.</w:t>
      </w:r>
    </w:p>
    <w:p>
      <w:pPr>
        <w:pStyle w:val="ListBullet"/>
        <w:ind w:left="360" w:hanging="240"/>
      </w:pPr>
      <w:r>
        <w:t xml:space="preserve">• Auditprotokoll für administrative und ergebnisrelevante Aktionen einsehen.</w:t>
      </w:r>
    </w:p>
    <w:p>
      <w:pPr>
        <w:pStyle w:val="Heading2"/>
        <w:keepNext/>
      </w:pPr>
      <w:r>
        <w:t xml:space="preserve">13.3 Plattformadministration</w:t>
      </w:r>
    </w:p>
    <w:p>
      <w:pPr>
        <w:pStyle w:val="ListBullet"/>
        <w:ind w:left="360" w:hanging="240"/>
      </w:pPr>
      <w:r>
        <w:t xml:space="preserve">• Kunden und Status suchen, ohne standardmässig Fachdaten zu öffnen.</w:t>
      </w:r>
    </w:p>
    <w:p>
      <w:pPr>
        <w:pStyle w:val="ListBullet"/>
        <w:ind w:left="360" w:hanging="240"/>
      </w:pPr>
      <w:r>
        <w:t xml:space="preserve">• Provisionierungs- und Migrationsfehler sehen und kontrolliert wiederholen.</w:t>
      </w:r>
    </w:p>
    <w:p>
      <w:pPr>
        <w:pStyle w:val="ListBullet"/>
        <w:ind w:left="360" w:hanging="240"/>
      </w:pPr>
      <w:r>
        <w:t xml:space="preserve">• Abozustand und Webhook-Synchronisation prüfen.</w:t>
      </w:r>
    </w:p>
    <w:p>
      <w:pPr>
        <w:pStyle w:val="ListBullet"/>
        <w:ind w:left="360" w:hanging="240"/>
      </w:pPr>
      <w:r>
        <w:t xml:space="preserve">• Zeitlich begrenzte Kulanz oder Sperre mit Begründung setzen.</w:t>
      </w:r>
    </w:p>
    <w:p>
      <w:pPr>
        <w:pStyle w:val="ListBullet"/>
        <w:ind w:left="360" w:hanging="240"/>
      </w:pPr>
      <w:r>
        <w:t xml:space="preserve">• Supportzugriff explizit starten und beenden; jeder Zugriff wird protokolliert.</w:t>
      </w:r>
    </w:p>
    <w:p>
      <w:pPr>
        <w:pStyle w:val="ListBullet"/>
        <w:ind w:left="360" w:hanging="240"/>
      </w:pPr>
      <w:r>
        <w:t xml:space="preserve">• Nutzung, Systemzustand und tarifliche Grenzwerte überwachen.</w:t>
      </w:r>
    </w:p>
    <w:p>
      <w:pPr>
        <w:pStyle w:val="Heading2"/>
        <w:keepNext/>
      </w:pPr>
      <w:r>
        <w:t xml:space="preserve">13.4 Private und öffentliche Bereiche</w:t>
      </w:r>
    </w:p>
    <w:p>
      <w:r>
        <w:t xml:space="preserve">Die bestehende Anwendung darf in einer SaaS-Version nicht pauschal ohne Anmeldung erreichbar sein. Verwaltungsseiten, Teilnehmendenlisten, Exporte und interne Ranglisten sind standardmässig privat. Eine öffentliche Rangliste wird nur durch eine bewusste Publikationsaktion erzeugt.</w:t>
      </w:r>
    </w:p>
    <w:p>
      <w:r>
        <w:t xml:space="preserve">Öffentliche Links verwenden einen widerrufbaren, nicht erratbaren Publikationsschlüssel. Der Kunde wählt, welche Felder sichtbar sind. Insbesondere bei Minderjährigen sollte die Voreinstellung möglichst wenige Personendaten anzeigen. Publikationen können ein Ablaufdatum erhalten.</w:t>
      </w:r>
    </w:p>
    <w:p>
      <w:pPr>
        <w:pStyle w:val="Heading1"/>
        <w:keepNext/>
      </w:pPr>
      <w:r>
        <w:t xml:space="preserve">14. Dateien, Exporte und Veröffentlichungen</w:t>
      </w:r>
    </w:p>
    <w:p>
      <w:pPr>
        <w:pStyle w:val="Heading2"/>
        <w:keepNext/>
      </w:pPr>
      <w:r>
        <w:t xml:space="preserve">14.1 Dateitypen</w:t>
      </w:r>
    </w:p>
    <w:p>
      <w:pPr>
        <w:pStyle w:val="ListBullet"/>
        <w:ind w:left="360" w:hanging="240"/>
      </w:pPr>
      <w:r>
        <w:t xml:space="preserve">• Kundenlogo und optionale Druckgrafiken.</w:t>
      </w:r>
    </w:p>
    <w:p>
      <w:pPr>
        <w:pStyle w:val="ListBullet"/>
        <w:ind w:left="360" w:hanging="240"/>
      </w:pPr>
      <w:r>
        <w:t xml:space="preserve">• Generierte Ranglisten und Laufzettel.</w:t>
      </w:r>
    </w:p>
    <w:p>
      <w:pPr>
        <w:pStyle w:val="ListBullet"/>
        <w:ind w:left="360" w:hanging="240"/>
      </w:pPr>
      <w:r>
        <w:t xml:space="preserve">• CSV-/JSON-Exporte.</w:t>
      </w:r>
    </w:p>
    <w:p>
      <w:pPr>
        <w:pStyle w:val="ListBullet"/>
        <w:ind w:left="360" w:hanging="240"/>
      </w:pPr>
      <w:r>
        <w:t xml:space="preserve">• Datenschutzexporte und Sicherungspakete.</w:t>
      </w:r>
    </w:p>
    <w:p>
      <w:pPr>
        <w:pStyle w:val="ListBullet"/>
        <w:ind w:left="360" w:hanging="240"/>
      </w:pPr>
      <w:r>
        <w:t xml:space="preserve">• Später eventuell Importdateien und Anhänge.</w:t>
      </w:r>
    </w:p>
    <w:p>
      <w:pPr>
        <w:pStyle w:val="Heading2"/>
        <w:keepNext/>
      </w:pPr>
      <w:r>
        <w:t xml:space="preserve">14.2 Speicherstrategie</w:t>
      </w:r>
    </w:p>
    <w:p>
      <w:r>
        <w:t xml:space="preserve">Für einen ersten einzelnen Server kann eine klar getrennte lokale Ablage funktionieren. Für einen robusten SaaS-Betrieb ist ein S3-kompatibler Objektspeicher vorzuziehen. Er erleichtert Replikation, Ablaufregeln und horizontale Skalierung. Jeder Objektschlüssel enthält die interne Mandanten-ID.</w:t>
      </w:r>
    </w:p>
    <w:p>
      <w:pPr>
        <w:pStyle w:val="Heading2"/>
        <w:keepNext/>
      </w:pPr>
      <w:r>
        <w:t xml:space="preserve">14.3 Sichere Uploads</w:t>
      </w:r>
    </w:p>
    <w:p>
      <w:pPr>
        <w:pStyle w:val="ListBullet"/>
        <w:ind w:left="360" w:hanging="240"/>
      </w:pPr>
      <w:r>
        <w:t xml:space="preserve">• Dateityp anhand Inhalt und nicht nur Dateiendung prüfen.</w:t>
      </w:r>
    </w:p>
    <w:p>
      <w:pPr>
        <w:pStyle w:val="ListBullet"/>
        <w:ind w:left="360" w:hanging="240"/>
      </w:pPr>
      <w:r>
        <w:t xml:space="preserve">• Grösse, Bilddimensionen und erlaubte Formate beschränken.</w:t>
      </w:r>
    </w:p>
    <w:p>
      <w:pPr>
        <w:pStyle w:val="ListBullet"/>
        <w:ind w:left="360" w:hanging="240"/>
      </w:pPr>
      <w:r>
        <w:t xml:space="preserve">• Zufällige interne Dateinamen verwenden.</w:t>
      </w:r>
    </w:p>
    <w:p>
      <w:pPr>
        <w:pStyle w:val="ListBullet"/>
        <w:ind w:left="360" w:hanging="240"/>
      </w:pPr>
      <w:r>
        <w:t xml:space="preserve">• Keine vom Kunden eingegebene beliebige URL serverseitig für PDF-Erzeugung abrufen; dies könnte SSRF ermöglichen.</w:t>
      </w:r>
    </w:p>
    <w:p>
      <w:pPr>
        <w:pStyle w:val="ListBullet"/>
        <w:ind w:left="360" w:hanging="240"/>
      </w:pPr>
      <w:r>
        <w:t xml:space="preserve">• Uploads ausserhalb des ausführbaren Webroots speichern.</w:t>
      </w:r>
    </w:p>
    <w:p>
      <w:pPr>
        <w:pStyle w:val="ListBullet"/>
        <w:ind w:left="360" w:hanging="240"/>
      </w:pPr>
      <w:r>
        <w:t xml:space="preserve">• Bilder serverseitig neu kodieren und Metadaten entfernen, wenn dies fachlich vertretbar ist.</w:t>
      </w:r>
    </w:p>
    <w:p>
      <w:pPr>
        <w:pStyle w:val="ListBullet"/>
        <w:ind w:left="360" w:hanging="240"/>
      </w:pPr>
      <w:r>
        <w:t xml:space="preserve">• Private Dateien nur nach Autorisierung oder über kurzlebige signierte URLs ausgeben.</w:t>
      </w:r>
    </w:p>
    <w:p>
      <w:pPr>
        <w:pStyle w:val="Heading1"/>
        <w:keepNext/>
      </w:pPr>
      <w:r>
        <w:t xml:space="preserve">15. Sicherheitskonzept</w:t>
      </w:r>
    </w:p>
    <w:p>
      <w:pPr>
        <w:pStyle w:val="Heading2"/>
        <w:keepNext/>
      </w:pPr>
      <w:r>
        <w:t xml:space="preserve">15.1 Schutzziele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200"/>
        <w:gridCol w:w="7300"/>
      </w:tblGrid>
      <w:tr>
        <w:tc>
          <w:tcPr>
            <w:tcW w:w="2200" w:type="dxa"/>
            <w:shd w:val="clear" w:color="auto" w:fill="DDEBF7"/>
            <w:vAlign w:val="top"/>
          </w:tcPr>
          <w:p>
            <w:pPr>
              <w:spacing w:after="40"/>
            </w:pPr>
            <w:r>
              <w:rPr>
                <w:b/>
              </w:rPr>
              <w:t xml:space="preserve">Schutzziel</w:t>
            </w:r>
          </w:p>
        </w:tc>
        <w:tc>
          <w:tcPr>
            <w:tcW w:w="7300" w:type="dxa"/>
            <w:shd w:val="clear" w:color="auto" w:fill="DDEBF7"/>
            <w:vAlign w:val="top"/>
          </w:tcPr>
          <w:p>
            <w:pPr>
              <w:spacing w:after="40"/>
            </w:pPr>
            <w:r>
              <w:rPr>
                <w:b/>
              </w:rPr>
              <w:t xml:space="preserve">Konkret für die Plattform</w:t>
            </w:r>
          </w:p>
        </w:tc>
      </w:tr>
      <w:tr>
        <w:tc>
          <w:tcPr>
            <w:tcW w:w="2200" w:type="dxa"/>
            <w:vAlign w:val="top"/>
          </w:tcPr>
          <w:p>
            <w:pPr>
              <w:spacing w:after="40"/>
            </w:pPr>
            <w:r>
              <w:t xml:space="preserve">Vertraulichkeit</w:t>
            </w:r>
          </w:p>
        </w:tc>
        <w:tc>
          <w:tcPr>
            <w:tcW w:w="7300" w:type="dxa"/>
            <w:vAlign w:val="top"/>
          </w:tcPr>
          <w:p>
            <w:pPr>
              <w:spacing w:after="40"/>
            </w:pPr>
            <w:r>
              <w:t xml:space="preserve">Nur berechtigte Benutzer des richtigen Kunden sehen Teilnehmende, Resultate, Exporte und Einstellungen.</w:t>
            </w:r>
          </w:p>
        </w:tc>
      </w:tr>
      <w:tr>
        <w:tc>
          <w:tcPr>
            <w:tcW w:w="2200" w:type="dxa"/>
            <w:vAlign w:val="top"/>
          </w:tcPr>
          <w:p>
            <w:pPr>
              <w:spacing w:after="40"/>
            </w:pPr>
            <w:r>
              <w:t xml:space="preserve">Integrität</w:t>
            </w:r>
          </w:p>
        </w:tc>
        <w:tc>
          <w:tcPr>
            <w:tcW w:w="7300" w:type="dxa"/>
            <w:vAlign w:val="top"/>
          </w:tcPr>
          <w:p>
            <w:pPr>
              <w:spacing w:after="40"/>
            </w:pPr>
            <w:r>
              <w:t xml:space="preserve">Zeiten, Finalstatus, Benutzerrollen und Abozustände können nicht unautorisiert verändert werden.</w:t>
            </w:r>
          </w:p>
        </w:tc>
      </w:tr>
      <w:tr>
        <w:tc>
          <w:tcPr>
            <w:tcW w:w="2200" w:type="dxa"/>
            <w:vAlign w:val="top"/>
          </w:tcPr>
          <w:p>
            <w:pPr>
              <w:spacing w:after="40"/>
            </w:pPr>
            <w:r>
              <w:t xml:space="preserve">Verfügbarkeit</w:t>
            </w:r>
          </w:p>
        </w:tc>
        <w:tc>
          <w:tcPr>
            <w:tcW w:w="7300" w:type="dxa"/>
            <w:vAlign w:val="top"/>
          </w:tcPr>
          <w:p>
            <w:pPr>
              <w:spacing w:after="40"/>
            </w:pPr>
            <w:r>
              <w:t xml:space="preserve">Die Anwendung bleibt insbesondere während Anlässen nutzbar und ist wiederherstellbar.</w:t>
            </w:r>
          </w:p>
        </w:tc>
      </w:tr>
      <w:tr>
        <w:tc>
          <w:tcPr>
            <w:tcW w:w="2200" w:type="dxa"/>
            <w:vAlign w:val="top"/>
          </w:tcPr>
          <w:p>
            <w:pPr>
              <w:spacing w:after="40"/>
            </w:pPr>
            <w:r>
              <w:t xml:space="preserve">Nachvollziehbarkeit</w:t>
            </w:r>
          </w:p>
        </w:tc>
        <w:tc>
          <w:tcPr>
            <w:tcW w:w="7300" w:type="dxa"/>
            <w:vAlign w:val="top"/>
          </w:tcPr>
          <w:p>
            <w:pPr>
              <w:spacing w:after="40"/>
            </w:pPr>
            <w:r>
              <w:t xml:space="preserve">Sicherheitsrelevante und fachlich kritische Änderungen lassen sich einem Akteur und Zeitpunkt zuordnen.</w:t>
            </w:r>
          </w:p>
        </w:tc>
      </w:tr>
    </w:tbl>
    <w:p>
      <w:pPr>
        <w:spacing w:after="40"/>
      </w:pPr>
      <w:r>
        <w:t xml:space="preserve"/>
      </w:r>
    </w:p>
    <w:p>
      <w:pPr>
        <w:pStyle w:val="Heading2"/>
        <w:keepNext/>
      </w:pPr>
      <w:r>
        <w:t xml:space="preserve">15.2 Wesentliche Massnahmen</w:t>
      </w:r>
    </w:p>
    <w:p>
      <w:pPr>
        <w:pStyle w:val="ListBullet"/>
        <w:ind w:left="360" w:hanging="240"/>
      </w:pPr>
      <w:r>
        <w:t xml:space="preserve">• HTTPS erzwingen; HSTS nach erfolgreicher Einführungsphase aktivieren.</w:t>
      </w:r>
    </w:p>
    <w:p>
      <w:pPr>
        <w:pStyle w:val="ListBullet"/>
        <w:ind w:left="360" w:hanging="240"/>
      </w:pPr>
      <w:r>
        <w:t xml:space="preserve">• Prepared Statements und zentrale Eingabevalidierung verwenden.</w:t>
      </w:r>
    </w:p>
    <w:p>
      <w:pPr>
        <w:pStyle w:val="ListBullet"/>
        <w:ind w:left="360" w:hanging="240"/>
      </w:pPr>
      <w:r>
        <w:t xml:space="preserve">• Ausgaben kontextgerecht escapen und Content Security Policy einführen.</w:t>
      </w:r>
    </w:p>
    <w:p>
      <w:pPr>
        <w:pStyle w:val="ListBullet"/>
        <w:ind w:left="360" w:hanging="240"/>
      </w:pPr>
      <w:r>
        <w:t xml:space="preserve">• CSRF-Tokens auf allen zustandsändernden Browseraktionen.</w:t>
      </w:r>
    </w:p>
    <w:p>
      <w:pPr>
        <w:pStyle w:val="ListBullet"/>
        <w:ind w:left="360" w:hanging="240"/>
      </w:pPr>
      <w:r>
        <w:t xml:space="preserve">• Sichere Session-Cookies, Sessionrotation und kurze Inaktivitätsgrenzen für privilegierte Bereiche.</w:t>
      </w:r>
    </w:p>
    <w:p>
      <w:pPr>
        <w:pStyle w:val="ListBullet"/>
        <w:ind w:left="360" w:hanging="240"/>
      </w:pPr>
      <w:r>
        <w:t xml:space="preserve">• Passwörter mit Argon2id oder geeignetem aktuellem PHP-Standard hashen.</w:t>
      </w:r>
    </w:p>
    <w:p>
      <w:pPr>
        <w:pStyle w:val="ListBullet"/>
        <w:ind w:left="360" w:hanging="240"/>
      </w:pPr>
      <w:r>
        <w:t xml:space="preserve">• MFA für Plattformadministration; optional für Kunden-Owner.</w:t>
      </w:r>
    </w:p>
    <w:p>
      <w:pPr>
        <w:pStyle w:val="ListBullet"/>
        <w:ind w:left="360" w:hanging="240"/>
      </w:pPr>
      <w:r>
        <w:t xml:space="preserve">• Rate Limits pro IP, Benutzer und Mandant.</w:t>
      </w:r>
    </w:p>
    <w:p>
      <w:pPr>
        <w:pStyle w:val="ListBullet"/>
        <w:ind w:left="360" w:hanging="240"/>
      </w:pPr>
      <w:r>
        <w:t xml:space="preserve">• Secrets ausserhalb des Repositories; regelmässige Rotation kritischer Schlüssel.</w:t>
      </w:r>
    </w:p>
    <w:p>
      <w:pPr>
        <w:pStyle w:val="ListBullet"/>
        <w:ind w:left="360" w:hanging="240"/>
      </w:pPr>
      <w:r>
        <w:t xml:space="preserve">• Verschlüsselte Backups und verschlüsselte Transportwege.</w:t>
      </w:r>
    </w:p>
    <w:p>
      <w:pPr>
        <w:pStyle w:val="ListBullet"/>
        <w:ind w:left="360" w:hanging="240"/>
      </w:pPr>
      <w:r>
        <w:t xml:space="preserve">• Abhängigkeiten und PHP-Version regelmässig aktualisieren.</w:t>
      </w:r>
    </w:p>
    <w:p>
      <w:pPr>
        <w:pStyle w:val="ListBullet"/>
        <w:ind w:left="360" w:hanging="240"/>
      </w:pPr>
      <w:r>
        <w:t xml:space="preserve">• Automatisierte Mandantenisolations- und Autorisationstests in jeder Release-Pipeline.</w:t>
      </w:r>
    </w:p>
    <w:p>
      <w:pPr>
        <w:pStyle w:val="ListBullet"/>
        <w:ind w:left="360" w:hanging="240"/>
      </w:pPr>
      <w:r>
        <w:t xml:space="preserve">• Administrative Notfallzugriffe nach dem Vier-Augen- oder zumindest expliziten Auditprinzip.</w:t>
      </w:r>
    </w:p>
    <w:p>
      <w:pPr>
        <w:pStyle w:val="Heading2"/>
        <w:keepNext/>
      </w:pPr>
      <w:r>
        <w:t xml:space="preserve">15.3 Bedrohungsschwerpunkte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800"/>
        <w:gridCol w:w="6700"/>
      </w:tblGrid>
      <w:tr>
        <w:tc>
          <w:tcPr>
            <w:tcW w:w="2800" w:type="dxa"/>
            <w:shd w:val="clear" w:color="auto" w:fill="DDEBF7"/>
            <w:vAlign w:val="top"/>
          </w:tcPr>
          <w:p>
            <w:pPr>
              <w:spacing w:after="40"/>
            </w:pPr>
            <w:r>
              <w:rPr>
                <w:b/>
              </w:rPr>
              <w:t xml:space="preserve">Bedrohung</w:t>
            </w:r>
          </w:p>
        </w:tc>
        <w:tc>
          <w:tcPr>
            <w:tcW w:w="6700" w:type="dxa"/>
            <w:shd w:val="clear" w:color="auto" w:fill="DDEBF7"/>
            <w:vAlign w:val="top"/>
          </w:tcPr>
          <w:p>
            <w:pPr>
              <w:spacing w:after="40"/>
            </w:pPr>
            <w:r>
              <w:rPr>
                <w:b/>
              </w:rPr>
              <w:t xml:space="preserve">Gegenmassnahme</w:t>
            </w:r>
          </w:p>
        </w:tc>
      </w:tr>
      <w:tr>
        <w:tc>
          <w:tcPr>
            <w:tcW w:w="2800" w:type="dxa"/>
            <w:vAlign w:val="top"/>
          </w:tcPr>
          <w:p>
            <w:pPr>
              <w:spacing w:after="40"/>
            </w:pPr>
            <w:r>
              <w:t xml:space="preserve">Cross-Tenant-Zugriff/IDOR</w:t>
            </w:r>
          </w:p>
        </w:tc>
        <w:tc>
          <w:tcPr>
            <w:tcW w:w="6700" w:type="dxa"/>
            <w:vAlign w:val="top"/>
          </w:tcPr>
          <w:p>
            <w:pPr>
              <w:spacing w:after="40"/>
            </w:pPr>
            <w:r>
              <w:t xml:space="preserve">Hostname-basierter serverseitiger Kontext, eigene DB, Eigentumsprüfung, negative Regressionstests.</w:t>
            </w:r>
          </w:p>
        </w:tc>
      </w:tr>
      <w:tr>
        <w:tc>
          <w:tcPr>
            <w:tcW w:w="2800" w:type="dxa"/>
            <w:vAlign w:val="top"/>
          </w:tcPr>
          <w:p>
            <w:pPr>
              <w:spacing w:after="40"/>
            </w:pPr>
            <w:r>
              <w:t xml:space="preserve">Host-Header-Manipulation</w:t>
            </w:r>
          </w:p>
        </w:tc>
        <w:tc>
          <w:tcPr>
            <w:tcW w:w="6700" w:type="dxa"/>
            <w:vAlign w:val="top"/>
          </w:tcPr>
          <w:p>
            <w:pPr>
              <w:spacing w:after="40"/>
            </w:pPr>
            <w:r>
              <w:t xml:space="preserve">Allowlist registrierter Domains, kanonische Basis-URL, keine ungeprüften Redirects.</w:t>
            </w:r>
          </w:p>
        </w:tc>
      </w:tr>
      <w:tr>
        <w:tc>
          <w:tcPr>
            <w:tcW w:w="2800" w:type="dxa"/>
            <w:vAlign w:val="top"/>
          </w:tcPr>
          <w:p>
            <w:pPr>
              <w:spacing w:after="40"/>
            </w:pPr>
            <w:r>
              <w:t xml:space="preserve">Kontoübernahme</w:t>
            </w:r>
          </w:p>
        </w:tc>
        <w:tc>
          <w:tcPr>
            <w:tcW w:w="6700" w:type="dxa"/>
            <w:vAlign w:val="top"/>
          </w:tcPr>
          <w:p>
            <w:pPr>
              <w:spacing w:after="40"/>
            </w:pPr>
            <w:r>
              <w:t xml:space="preserve">MFA, Rate Limit, sichere Passwörter, Sessionrotation, Benachrichtigungen.</w:t>
            </w:r>
          </w:p>
        </w:tc>
      </w:tr>
      <w:tr>
        <w:tc>
          <w:tcPr>
            <w:tcW w:w="2800" w:type="dxa"/>
            <w:vAlign w:val="top"/>
          </w:tcPr>
          <w:p>
            <w:pPr>
              <w:spacing w:after="40"/>
            </w:pPr>
            <w:r>
              <w:t xml:space="preserve">Gefälschte Zahlungswebhooks</w:t>
            </w:r>
          </w:p>
        </w:tc>
        <w:tc>
          <w:tcPr>
            <w:tcW w:w="6700" w:type="dxa"/>
            <w:vAlign w:val="top"/>
          </w:tcPr>
          <w:p>
            <w:pPr>
              <w:spacing w:after="40"/>
            </w:pPr>
            <w:r>
              <w:t xml:space="preserve">Signaturprüfung, unveränderter Body, Event-Deduplizierung.</w:t>
            </w:r>
          </w:p>
        </w:tc>
      </w:tr>
      <w:tr>
        <w:tc>
          <w:tcPr>
            <w:tcW w:w="2800" w:type="dxa"/>
            <w:vAlign w:val="top"/>
          </w:tcPr>
          <w:p>
            <w:pPr>
              <w:spacing w:after="40"/>
            </w:pPr>
            <w:r>
              <w:t xml:space="preserve">Doppelte Provisionierung</w:t>
            </w:r>
          </w:p>
        </w:tc>
        <w:tc>
          <w:tcPr>
            <w:tcW w:w="6700" w:type="dxa"/>
            <w:vAlign w:val="top"/>
          </w:tcPr>
          <w:p>
            <w:pPr>
              <w:spacing w:after="40"/>
            </w:pPr>
            <w:r>
              <w:t xml:space="preserve">Idempotenzschlüssel, eindeutige Constraints, zustandsbasierter Worker.</w:t>
            </w:r>
          </w:p>
        </w:tc>
      </w:tr>
      <w:tr>
        <w:tc>
          <w:tcPr>
            <w:tcW w:w="2800" w:type="dxa"/>
            <w:vAlign w:val="top"/>
          </w:tcPr>
          <w:p>
            <w:pPr>
              <w:spacing w:after="40"/>
            </w:pPr>
            <w:r>
              <w:t xml:space="preserve">Manipulierte öffentliche Links</w:t>
            </w:r>
          </w:p>
        </w:tc>
        <w:tc>
          <w:tcPr>
            <w:tcW w:w="6700" w:type="dxa"/>
            <w:vAlign w:val="top"/>
          </w:tcPr>
          <w:p>
            <w:pPr>
              <w:spacing w:after="40"/>
            </w:pPr>
            <w:r>
              <w:t xml:space="preserve">Zufällige widerrufbare Token, minimale Daten, Ablaufdatum.</w:t>
            </w:r>
          </w:p>
        </w:tc>
      </w:tr>
      <w:tr>
        <w:tc>
          <w:tcPr>
            <w:tcW w:w="2800" w:type="dxa"/>
            <w:vAlign w:val="top"/>
          </w:tcPr>
          <w:p>
            <w:pPr>
              <w:spacing w:after="40"/>
            </w:pPr>
            <w:r>
              <w:t xml:space="preserve">Schädliche Uploads/SSRF</w:t>
            </w:r>
          </w:p>
        </w:tc>
        <w:tc>
          <w:tcPr>
            <w:tcW w:w="6700" w:type="dxa"/>
            <w:vAlign w:val="top"/>
          </w:tcPr>
          <w:p>
            <w:pPr>
              <w:spacing w:after="40"/>
            </w:pPr>
            <w:r>
              <w:t xml:space="preserve">Inhaltsprüfung, Neu-Kodierung, keine beliebigen Remote-URLs.</w:t>
            </w:r>
          </w:p>
        </w:tc>
      </w:tr>
      <w:tr>
        <w:tc>
          <w:tcPr>
            <w:tcW w:w="2800" w:type="dxa"/>
            <w:vAlign w:val="top"/>
          </w:tcPr>
          <w:p>
            <w:pPr>
              <w:spacing w:after="40"/>
            </w:pPr>
            <w:r>
              <w:t xml:space="preserve">Insider-/Supportmissbrauch</w:t>
            </w:r>
          </w:p>
        </w:tc>
        <w:tc>
          <w:tcPr>
            <w:tcW w:w="6700" w:type="dxa"/>
            <w:vAlign w:val="top"/>
          </w:tcPr>
          <w:p>
            <w:pPr>
              <w:spacing w:after="40"/>
            </w:pPr>
            <w:r>
              <w:t xml:space="preserve">Minimale Rechte, explizite Supportsession, Audit und regelmässige Kontrolle.</w:t>
            </w:r>
          </w:p>
        </w:tc>
      </w:tr>
    </w:tbl>
    <w:p>
      <w:pPr>
        <w:spacing w:after="40"/>
      </w:pPr>
      <w:r>
        <w:t xml:space="preserve"/>
      </w:r>
    </w:p>
    <w:p>
      <w:pPr>
        <w:pStyle w:val="Heading2"/>
        <w:keepNext/>
      </w:pPr>
      <w:r>
        <w:t xml:space="preserve">15.4 Security Review vor Markteinführung</w:t>
      </w:r>
    </w:p>
    <w:p>
      <w:r>
        <w:t xml:space="preserve">Vor dem produktiven Verkauf sollte mindestens ein unabhängiger Anwendungssicherheitstest stattfinden. Besonders zu prüfen sind Mandantenisolation, Authentifizierung, Rollenwechsel, öffentliche Exporte, Webhooks, Uploads, Kündigung/Löschung und Plattformadministration.</w:t>
      </w:r>
    </w:p>
    <w:p>
      <w:pPr>
        <w:pStyle w:val="Heading1"/>
        <w:keepNext/>
      </w:pPr>
      <w:r>
        <w:t xml:space="preserve">16. Datenschutz und rechtliche Themen</w:t>
      </w:r>
    </w:p>
    <w:p>
      <w:pPr>
        <w:pStyle w:val="Heading2"/>
        <w:keepNext/>
      </w:pPr>
      <w:r>
        <w:t xml:space="preserve">16.1 Rollen und Verantwortlichkeit</w:t>
      </w:r>
    </w:p>
    <w:p>
      <w:r>
        <w:t xml:space="preserve">Typischerweise entscheidet der Veranstalter über Zweck und Inhalt der Teilnehmendendaten und ist damit datenschutzrechtlich Verantwortlicher; der Plattformbetreiber verarbeitet die Daten in dessen Auftrag. Diese Einordnung muss juristisch geprüft und in Verträgen, Datenschutzerklärung und Auftragsbearbeitungsvereinbarung konsistent abgebildet werden.</w:t>
      </w:r>
    </w:p>
    <w:p>
      <w:pPr>
        <w:pStyle w:val="Heading2"/>
        <w:keepNext/>
      </w:pPr>
      <w:r>
        <w:t xml:space="preserve">16.2 Privacy by Design und Default</w:t>
      </w:r>
    </w:p>
    <w:p>
      <w:r>
        <w:t xml:space="preserve">Das Schweizer Datenschutzgesetz verankert Datenschutz durch Technik und datenschutzfreundliche Voreinstellungen. Der EDÖB betont ausserdem Datensparsamkeit, Transparenz und Löschung beziehungsweise Anonymisierung, sobald Daten nicht mehr benötigt werden. Für die Plattform bedeutet dies insbesondere: private Voreinstellung, minimale Pflichtfelder, kontrollierte Publikation und definierte Löschfristen.</w:t>
      </w:r>
    </w:p>
    <w:p>
      <w:pPr>
        <w:pStyle w:val="Heading2"/>
        <w:keepNext/>
      </w:pPr>
      <w:r>
        <w:t xml:space="preserve">16.3 Erforderliche Unterlagen und Prozesse</w:t>
      </w:r>
    </w:p>
    <w:p>
      <w:pPr>
        <w:pStyle w:val="ListBullet"/>
        <w:ind w:left="360" w:hanging="240"/>
      </w:pPr>
      <w:r>
        <w:t xml:space="preserve">• Datenschutzerklärung für die Plattform und transparente Information bei Datenerhebung.</w:t>
      </w:r>
    </w:p>
    <w:p>
      <w:pPr>
        <w:pStyle w:val="ListBullet"/>
        <w:ind w:left="360" w:hanging="240"/>
      </w:pPr>
      <w:r>
        <w:t xml:space="preserve">• Auftragsbearbeitungsvereinbarung mit Kunden.</w:t>
      </w:r>
    </w:p>
    <w:p>
      <w:pPr>
        <w:pStyle w:val="ListBullet"/>
        <w:ind w:left="360" w:hanging="240"/>
      </w:pPr>
      <w:r>
        <w:t xml:space="preserve">• Technische und organisatorische Massnahmen (TOM) als dokumentierter Anhang.</w:t>
      </w:r>
    </w:p>
    <w:p>
      <w:pPr>
        <w:pStyle w:val="ListBullet"/>
        <w:ind w:left="360" w:hanging="240"/>
      </w:pPr>
      <w:r>
        <w:t xml:space="preserve">• Verzeichnis relevanter Datenbearbeitungen.</w:t>
      </w:r>
    </w:p>
    <w:p>
      <w:pPr>
        <w:pStyle w:val="ListBullet"/>
        <w:ind w:left="360" w:hanging="240"/>
      </w:pPr>
      <w:r>
        <w:t xml:space="preserve">• Liste und vertragliche Einbindung von Unterauftragsbearbeitern wie Hosting, E-Mail, Monitoring und Zahlungsanbieter.</w:t>
      </w:r>
    </w:p>
    <w:p>
      <w:pPr>
        <w:pStyle w:val="ListBullet"/>
        <w:ind w:left="360" w:hanging="240"/>
      </w:pPr>
      <w:r>
        <w:t xml:space="preserve">• Prozess für Auskunft, Berichtigung, Export und Löschung.</w:t>
      </w:r>
    </w:p>
    <w:p>
      <w:pPr>
        <w:pStyle w:val="ListBullet"/>
        <w:ind w:left="360" w:hanging="240"/>
      </w:pPr>
      <w:r>
        <w:t xml:space="preserve">• Prozess für Datenschutz- und Sicherheitsvorfälle inklusive Meldeentscheidung.</w:t>
      </w:r>
    </w:p>
    <w:p>
      <w:pPr>
        <w:pStyle w:val="ListBullet"/>
        <w:ind w:left="360" w:hanging="240"/>
      </w:pPr>
      <w:r>
        <w:t xml:space="preserve">• Regeln für Datenstandort und grenzüberschreitende Übermittlung.</w:t>
      </w:r>
    </w:p>
    <w:p>
      <w:pPr>
        <w:pStyle w:val="ListBullet"/>
        <w:ind w:left="360" w:hanging="240"/>
      </w:pPr>
      <w:r>
        <w:t xml:space="preserve">• Prüfung der DSGVO-Anwendbarkeit bei Kunden oder betroffenen Personen in der EU.</w:t>
      </w:r>
    </w:p>
    <w:p>
      <w:pPr>
        <w:pStyle w:val="ListBullet"/>
        <w:ind w:left="360" w:hanging="240"/>
      </w:pPr>
      <w:r>
        <w:t xml:space="preserve">• Bei voraussichtlich hohem Risiko Prüfung, ob eine Datenschutz-Folgenabschätzung erforderlich ist.</w:t>
      </w:r>
    </w:p>
    <w:p>
      <w:pPr>
        <w:pStyle w:val="Heading2"/>
        <w:keepNext/>
      </w:pPr>
      <w:r>
        <w:t xml:space="preserve">16.4 Minderjährige</w:t>
      </w:r>
    </w:p>
    <w:p>
      <w:r>
        <w:t xml:space="preserve">Da Kinder und Jugendliche teilnehmen können, sind öffentliche Darstellungen besonders zurückhaltend zu gestalten. Es sollte fachlich entschieden werden, ob vollständiger Name, Jahrgang, Klasse und Ort wirklich benötigt werden und welche Angaben auf öffentlichen Ranglisten erscheinen dürfen. Ein konfigurierbares Publikationsprofil ist besser als eine pauschale Veröffentlichung aller gespeicherten Felder.</w:t>
      </w:r>
    </w:p>
    <w:p>
      <w:pPr>
        <w:pStyle w:val="Heading2"/>
        <w:keepNext/>
      </w:pPr>
      <w:r>
        <w:t xml:space="preserve">16.5 Aufbewahrung</w:t>
      </w:r>
    </w:p>
    <w:p>
      <w:r>
        <w:t xml:space="preserve">Es wird eine Matrix pro Datenkategorie benötigt. Laufdaten könnten beispielsweise nach einer kundenseitig definierten Frist gelöscht oder anonymisiert werden, während steuerlich relevante Rechnungsdaten anderen Fristen unterliegen. «Unbefristet, bis jemand reklamiert» ist keine geeignete Standardregel.</w:t>
      </w:r>
    </w:p>
    <w:p>
      <w:r>
        <w:t xml:space="preserve">Dieses Kapitel ist keine Rechtsberatung. Vor produktiver Vermarktung sind Datenschutz- und Vertragsunterlagen fachkundig zu prüfen.</w:t>
      </w:r>
    </w:p>
    <w:p>
      <w:pPr>
        <w:pStyle w:val="Heading1"/>
        <w:keepNext/>
      </w:pPr>
      <w:r>
        <w:t xml:space="preserve">17. Hosting, Betrieb und Verfügbarkeit</w:t>
      </w:r>
    </w:p>
    <w:p>
      <w:pPr>
        <w:pStyle w:val="Heading2"/>
        <w:keepNext/>
      </w:pPr>
      <w:r>
        <w:t xml:space="preserve">17.1 MVP-Betriebsmodell</w:t>
      </w:r>
    </w:p>
    <w:p>
      <w:r>
        <w:t xml:space="preserve">Für einen kontrollierten Pilot kann die Plattform auf wenigen, klar getrennten Komponenten betrieben werden: Reverse Proxy/Apache, PHP-Anwendung, Hintergrundworker, Plattformdatenbank, MariaDB für Kundendatenbanken, Dateiablage und Monitoring. Ein einzelner Server ist für Entwicklung geeignet, stellt produktiv jedoch einen Single Point of Failure dar.</w:t>
      </w:r>
    </w:p>
    <w:p>
      <w:pPr>
        <w:pStyle w:val="Heading2"/>
        <w:keepNext/>
      </w:pPr>
      <w:r>
        <w:t xml:space="preserve">17.2 Empfohlene Produktionsbausteine</w:t>
      </w:r>
    </w:p>
    <w:p>
      <w:pPr>
        <w:pStyle w:val="ListBullet"/>
        <w:ind w:left="360" w:hanging="240"/>
      </w:pPr>
      <w:r>
        <w:t xml:space="preserve">• Mindestens zwei austauschbare Web-/App-Instanzen hinter einem Reverse Proxy, sobald die Nutzung dies rechtfertigt.</w:t>
      </w:r>
    </w:p>
    <w:p>
      <w:pPr>
        <w:pStyle w:val="ListBullet"/>
        <w:ind w:left="360" w:hanging="240"/>
      </w:pPr>
      <w:r>
        <w:t xml:space="preserve">• Verwaltete oder replizierte Datenbank mit automatisierten Sicherungen und Point-in-Time-Recovery.</w:t>
      </w:r>
    </w:p>
    <w:p>
      <w:pPr>
        <w:pStyle w:val="ListBullet"/>
        <w:ind w:left="360" w:hanging="240"/>
      </w:pPr>
      <w:r>
        <w:t xml:space="preserve">• Gemeinsamer Session-Speicher oder konsequent zustandslose Sitzungsarchitektur bei mehreren App-Instanzen.</w:t>
      </w:r>
    </w:p>
    <w:p>
      <w:pPr>
        <w:pStyle w:val="ListBullet"/>
        <w:ind w:left="360" w:hanging="240"/>
      </w:pPr>
      <w:r>
        <w:t xml:space="preserve">• S3-kompatibler Objektspeicher für private Dateien.</w:t>
      </w:r>
    </w:p>
    <w:p>
      <w:pPr>
        <w:pStyle w:val="ListBullet"/>
        <w:ind w:left="360" w:hanging="240"/>
      </w:pPr>
      <w:r>
        <w:t xml:space="preserve">• Separater Workerprozess und Jobqueue.</w:t>
      </w:r>
    </w:p>
    <w:p>
      <w:pPr>
        <w:pStyle w:val="ListBullet"/>
        <w:ind w:left="360" w:hanging="240"/>
      </w:pPr>
      <w:r>
        <w:t xml:space="preserve">• Transaktionaler E-Mail-Dienst mit SPF, DKIM und DMARC.</w:t>
      </w:r>
    </w:p>
    <w:p>
      <w:pPr>
        <w:pStyle w:val="ListBullet"/>
        <w:ind w:left="360" w:hanging="240"/>
      </w:pPr>
      <w:r>
        <w:t xml:space="preserve">• Zentrales Monitoring, Fehlertracking und Logaggregation.</w:t>
      </w:r>
    </w:p>
    <w:p>
      <w:pPr>
        <w:pStyle w:val="ListBullet"/>
        <w:ind w:left="360" w:hanging="240"/>
      </w:pPr>
      <w:r>
        <w:t xml:space="preserve">• Getrennte Entwicklungs-, Staging- und Produktionsumgebung.</w:t>
      </w:r>
    </w:p>
    <w:p>
      <w:pPr>
        <w:pStyle w:val="Heading2"/>
        <w:keepNext/>
      </w:pPr>
      <w:r>
        <w:t xml:space="preserve">17.3 Verfügbarkeit am Veranstaltungstag</w:t>
      </w:r>
    </w:p>
    <w:p>
      <w:r>
        <w:t xml:space="preserve">Kunden benötigen vor dem Anlass eine Betriebscheckliste: Internetverbindung testen, Ersatzverbindung bereithalten, Laufzettel und Startlisten vorab exportieren sowie Verantwortlichkeiten klären. Für das MVP sollte offen kommuniziert werden, dass die Cloudanwendung eine funktionierende Internetverbindung voraussetzt.</w:t>
      </w:r>
    </w:p>
    <w:p>
      <w:r>
        <w:t xml:space="preserve">Ein echter Offlinebetrieb mit späterer Synchronisation ist ein eigenständiges Projekt. Er erzeugt Konfliktlösungs-, Sicherheits- und Datenkonsistenzfragen und gehört nicht unbemerkt in den SaaS-MVP. Als spätere Option kann ein lokal zwischenspeichernder Erfassungsmodus untersucht werden.</w:t>
      </w:r>
    </w:p>
    <w:p>
      <w:pPr>
        <w:pStyle w:val="Heading2"/>
        <w:keepNext/>
      </w:pPr>
      <w:r>
        <w:t xml:space="preserve">17.4 Serviceziele</w:t>
      </w:r>
    </w:p>
    <w:p>
      <w:r>
        <w:t xml:space="preserve">Verfügbarkeit, Supportzeiten, Reaktionszeit, Wartungsfenster, RPO und RTO müssen als bewusstes Leistungsversprechen definiert werden. Marketingaussagen dürfen nicht über die tatsächlich finanzierte Infrastruktur hinausgehen.</w:t>
      </w:r>
    </w:p>
    <w:p>
      <w:pPr>
        <w:pStyle w:val="Heading1"/>
        <w:keepNext/>
      </w:pPr>
      <w:r>
        <w:t xml:space="preserve">18. Backup und Wiederherstellung</w:t>
      </w:r>
    </w:p>
    <w:p>
      <w:pPr>
        <w:pStyle w:val="Heading2"/>
        <w:keepNext/>
      </w:pPr>
      <w:r>
        <w:t xml:space="preserve">18.1 Backupstrategie</w:t>
      </w:r>
    </w:p>
    <w:p>
      <w:pPr>
        <w:pStyle w:val="ListBullet"/>
        <w:ind w:left="360" w:hanging="240"/>
      </w:pPr>
      <w:r>
        <w:t xml:space="preserve">• Regelmässige vollständige Sicherungen der Plattform- und Kundendatenbanken.</w:t>
      </w:r>
    </w:p>
    <w:p>
      <w:pPr>
        <w:pStyle w:val="ListBullet"/>
        <w:ind w:left="360" w:hanging="240"/>
      </w:pPr>
      <w:r>
        <w:t xml:space="preserve">• Fortlaufende Binlog-/Point-in-Time-Sicherung für geringe Datenverluste.</w:t>
      </w:r>
    </w:p>
    <w:p>
      <w:pPr>
        <w:pStyle w:val="ListBullet"/>
        <w:ind w:left="360" w:hanging="240"/>
      </w:pPr>
      <w:r>
        <w:t xml:space="preserve">• Versionierung beziehungsweise Replikation der Dateiablage.</w:t>
      </w:r>
    </w:p>
    <w:p>
      <w:pPr>
        <w:pStyle w:val="ListBullet"/>
        <w:ind w:left="360" w:hanging="240"/>
      </w:pPr>
      <w:r>
        <w:t xml:space="preserve">• Verschlüsselung während Übertragung und Speicherung.</w:t>
      </w:r>
    </w:p>
    <w:p>
      <w:pPr>
        <w:pStyle w:val="ListBullet"/>
        <w:ind w:left="360" w:hanging="240"/>
      </w:pPr>
      <w:r>
        <w:t xml:space="preserve">• Geografisch beziehungsweise systemisch getrennte Kopie.</w:t>
      </w:r>
    </w:p>
    <w:p>
      <w:pPr>
        <w:pStyle w:val="ListBullet"/>
        <w:ind w:left="360" w:hanging="240"/>
      </w:pPr>
      <w:r>
        <w:t xml:space="preserve">• Dokumentierte Aufbewahrungsstufen, beispielsweise täglich, wöchentlich und monatlich.</w:t>
      </w:r>
    </w:p>
    <w:p>
      <w:pPr>
        <w:pStyle w:val="ListBullet"/>
        <w:ind w:left="360" w:hanging="240"/>
      </w:pPr>
      <w:r>
        <w:t xml:space="preserve">• Automatische Überwachung, ob Sicherungen tatsächlich erstellt wurden.</w:t>
      </w:r>
    </w:p>
    <w:p>
      <w:pPr>
        <w:pStyle w:val="Heading2"/>
        <w:keepNext/>
      </w:pPr>
      <w:r>
        <w:t xml:space="preserve">18.2 Wiederherstellung</w:t>
      </w:r>
    </w:p>
    <w:p>
      <w:r>
        <w:t xml:space="preserve">Die separate Kundendatenbank ermöglicht eine gezielte Wiederherstellung eines einzelnen Kunden, ohne alle anderen zurückzusetzen. Für einen Restore wird die aktuelle Datenbank nicht sofort überschrieben. Stattdessen wird zunächst in eine temporäre Datenbank wiederhergestellt, geprüft und danach kontrolliert umgeschaltet oder selektiv übernommen.</w:t>
      </w:r>
    </w:p>
    <w:p>
      <w:pPr>
        <w:pStyle w:val="Heading2"/>
        <w:keepNext/>
      </w:pPr>
      <w:r>
        <w:t xml:space="preserve">18.3 Restore-Tests</w:t>
      </w:r>
    </w:p>
    <w:p>
      <w:r>
        <w:t xml:space="preserve">Ein Backup gilt erst als belastbar, wenn es wiederhergestellt wurde. Mindestens quartalsweise und vor wesentlichen Betriebsänderungen werden Test-Restores durchgeführt. Ergebnisse, Dauer und Abweichungen werden dokumentiert. Zusätzlich sollte ein Wiederherstellungstest vor einem wichtigen Kundenanlass möglich sein.</w:t>
      </w:r>
    </w:p>
    <w:p>
      <w:pPr>
        <w:pStyle w:val="Heading2"/>
        <w:keepNext/>
      </w:pPr>
      <w:r>
        <w:t xml:space="preserve">18.4 Vorgeschlagene Zielwerte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1700"/>
        <w:gridCol w:w="2500"/>
        <w:gridCol w:w="5300"/>
      </w:tblGrid>
      <w:tr>
        <w:tc>
          <w:tcPr>
            <w:tcW w:w="1700" w:type="dxa"/>
            <w:shd w:val="clear" w:color="auto" w:fill="DDEBF7"/>
            <w:vAlign w:val="top"/>
          </w:tcPr>
          <w:p>
            <w:pPr>
              <w:spacing w:after="40"/>
            </w:pPr>
            <w:r>
              <w:rPr>
                <w:b/>
              </w:rPr>
              <w:t xml:space="preserve">Kennzahl</w:t>
            </w:r>
          </w:p>
        </w:tc>
        <w:tc>
          <w:tcPr>
            <w:tcW w:w="2500" w:type="dxa"/>
            <w:shd w:val="clear" w:color="auto" w:fill="DDEBF7"/>
            <w:vAlign w:val="top"/>
          </w:tcPr>
          <w:p>
            <w:pPr>
              <w:spacing w:after="40"/>
            </w:pPr>
            <w:r>
              <w:rPr>
                <w:b/>
              </w:rPr>
              <w:t xml:space="preserve">Diskussionsvorschlag</w:t>
            </w:r>
          </w:p>
        </w:tc>
        <w:tc>
          <w:tcPr>
            <w:tcW w:w="5300" w:type="dxa"/>
            <w:shd w:val="clear" w:color="auto" w:fill="DDEBF7"/>
            <w:vAlign w:val="top"/>
          </w:tcPr>
          <w:p>
            <w:pPr>
              <w:spacing w:after="40"/>
            </w:pPr>
            <w:r>
              <w:rPr>
                <w:b/>
              </w:rPr>
              <w:t xml:space="preserve">Hinweis</w:t>
            </w:r>
          </w:p>
        </w:tc>
      </w:tr>
      <w:tr>
        <w:tc>
          <w:tcPr>
            <w:tcW w:w="1700" w:type="dxa"/>
            <w:vAlign w:val="top"/>
          </w:tcPr>
          <w:p>
            <w:pPr>
              <w:spacing w:after="40"/>
            </w:pPr>
            <w:r>
              <w:t xml:space="preserve">RPO</w:t>
            </w:r>
          </w:p>
        </w:tc>
        <w:tc>
          <w:tcPr>
            <w:tcW w:w="2500" w:type="dxa"/>
            <w:vAlign w:val="top"/>
          </w:tcPr>
          <w:p>
            <w:pPr>
              <w:spacing w:after="40"/>
            </w:pPr>
            <w:r>
              <w:t xml:space="preserve">≤ 15 Minuten</w:t>
            </w:r>
          </w:p>
        </w:tc>
        <w:tc>
          <w:tcPr>
            <w:tcW w:w="5300" w:type="dxa"/>
            <w:vAlign w:val="top"/>
          </w:tcPr>
          <w:p>
            <w:pPr>
              <w:spacing w:after="40"/>
            </w:pPr>
            <w:r>
              <w:t xml:space="preserve">Maximal tolerierbarer Datenverlust; Zeitdaten sind ereigniskritisch.</w:t>
            </w:r>
          </w:p>
        </w:tc>
      </w:tr>
      <w:tr>
        <w:tc>
          <w:tcPr>
            <w:tcW w:w="1700" w:type="dxa"/>
            <w:vAlign w:val="top"/>
          </w:tcPr>
          <w:p>
            <w:pPr>
              <w:spacing w:after="40"/>
            </w:pPr>
            <w:r>
              <w:t xml:space="preserve">RTO</w:t>
            </w:r>
          </w:p>
        </w:tc>
        <w:tc>
          <w:tcPr>
            <w:tcW w:w="2500" w:type="dxa"/>
            <w:vAlign w:val="top"/>
          </w:tcPr>
          <w:p>
            <w:pPr>
              <w:spacing w:after="40"/>
            </w:pPr>
            <w:r>
              <w:t xml:space="preserve">≤ 4 Stunden</w:t>
            </w:r>
          </w:p>
        </w:tc>
        <w:tc>
          <w:tcPr>
            <w:tcW w:w="5300" w:type="dxa"/>
            <w:vAlign w:val="top"/>
          </w:tcPr>
          <w:p>
            <w:pPr>
              <w:spacing w:after="40"/>
            </w:pPr>
            <w:r>
              <w:t xml:space="preserve">Maximale Wiederanlaufzeit; für grosse Anlässe möglicherweise zu lang.</w:t>
            </w:r>
          </w:p>
        </w:tc>
      </w:tr>
      <w:tr>
        <w:tc>
          <w:tcPr>
            <w:tcW w:w="1700" w:type="dxa"/>
            <w:vAlign w:val="top"/>
          </w:tcPr>
          <w:p>
            <w:pPr>
              <w:spacing w:after="40"/>
            </w:pPr>
            <w:r>
              <w:t xml:space="preserve">Backup-Aufbewahrung</w:t>
            </w:r>
          </w:p>
        </w:tc>
        <w:tc>
          <w:tcPr>
            <w:tcW w:w="2500" w:type="dxa"/>
            <w:vAlign w:val="top"/>
          </w:tcPr>
          <w:p>
            <w:pPr>
              <w:spacing w:after="40"/>
            </w:pPr>
            <w:r>
              <w:t xml:space="preserve">30–90 Tage gestuft</w:t>
            </w:r>
          </w:p>
        </w:tc>
        <w:tc>
          <w:tcPr>
            <w:tcW w:w="5300" w:type="dxa"/>
            <w:vAlign w:val="top"/>
          </w:tcPr>
          <w:p>
            <w:pPr>
              <w:spacing w:after="40"/>
            </w:pPr>
            <w:r>
              <w:t xml:space="preserve">Mit Datenschutz- und Vertragskonzept abstimmen.</w:t>
            </w:r>
          </w:p>
        </w:tc>
      </w:tr>
      <w:tr>
        <w:tc>
          <w:tcPr>
            <w:tcW w:w="1700" w:type="dxa"/>
            <w:vAlign w:val="top"/>
          </w:tcPr>
          <w:p>
            <w:pPr>
              <w:spacing w:after="40"/>
            </w:pPr>
            <w:r>
              <w:t xml:space="preserve">Restore-Test</w:t>
            </w:r>
          </w:p>
        </w:tc>
        <w:tc>
          <w:tcPr>
            <w:tcW w:w="2500" w:type="dxa"/>
            <w:vAlign w:val="top"/>
          </w:tcPr>
          <w:p>
            <w:pPr>
              <w:spacing w:after="40"/>
            </w:pPr>
            <w:r>
              <w:t xml:space="preserve">Mindestens quartalsweise</w:t>
            </w:r>
          </w:p>
        </w:tc>
        <w:tc>
          <w:tcPr>
            <w:tcW w:w="5300" w:type="dxa"/>
            <w:vAlign w:val="top"/>
          </w:tcPr>
          <w:p>
            <w:pPr>
              <w:spacing w:after="40"/>
            </w:pPr>
            <w:r>
              <w:t xml:space="preserve">Zusätzlich nach grundlegenden Infrastrukturänderungen.</w:t>
            </w:r>
          </w:p>
        </w:tc>
      </w:tr>
    </w:tbl>
    <w:p>
      <w:pPr>
        <w:spacing w:after="40"/>
      </w:pPr>
      <w:r>
        <w:t xml:space="preserve"/>
      </w:r>
    </w:p>
    <w:p>
      <w:pPr>
        <w:pStyle w:val="Heading1"/>
        <w:keepNext/>
      </w:pPr>
      <w:r>
        <w:t xml:space="preserve">19. Monitoring, Protokollierung und Support</w:t>
      </w:r>
    </w:p>
    <w:p>
      <w:pPr>
        <w:pStyle w:val="Heading2"/>
        <w:keepNext/>
      </w:pPr>
      <w:r>
        <w:t xml:space="preserve">19.1 Technische Metriken</w:t>
      </w:r>
    </w:p>
    <w:p>
      <w:pPr>
        <w:pStyle w:val="ListBullet"/>
        <w:ind w:left="360" w:hanging="240"/>
      </w:pPr>
      <w:r>
        <w:t xml:space="preserve">• HTTP-Fehlerrate, Antwortzeiten und Requestvolumen.</w:t>
      </w:r>
    </w:p>
    <w:p>
      <w:pPr>
        <w:pStyle w:val="ListBullet"/>
        <w:ind w:left="360" w:hanging="240"/>
      </w:pPr>
      <w:r>
        <w:t xml:space="preserve">• Datenbankverbindungen, langsame Abfragen, Speicher und Replikationsstatus.</w:t>
      </w:r>
    </w:p>
    <w:p>
      <w:pPr>
        <w:pStyle w:val="ListBullet"/>
        <w:ind w:left="360" w:hanging="240"/>
      </w:pPr>
      <w:r>
        <w:t xml:space="preserve">• Queue-Länge, Jobdauer und fehlgeschlagene Provisionierungs-/Webhook-Aufträge.</w:t>
      </w:r>
    </w:p>
    <w:p>
      <w:pPr>
        <w:pStyle w:val="ListBullet"/>
        <w:ind w:left="360" w:hanging="240"/>
      </w:pPr>
      <w:r>
        <w:t xml:space="preserve">• Backupstatus und Alter der letzten erfolgreichen Sicherung.</w:t>
      </w:r>
    </w:p>
    <w:p>
      <w:pPr>
        <w:pStyle w:val="ListBullet"/>
        <w:ind w:left="360" w:hanging="240"/>
      </w:pPr>
      <w:r>
        <w:t xml:space="preserve">• Zertifikatsablauf und DNS-/Domainfehler.</w:t>
      </w:r>
    </w:p>
    <w:p>
      <w:pPr>
        <w:pStyle w:val="ListBullet"/>
        <w:ind w:left="360" w:hanging="240"/>
      </w:pPr>
      <w:r>
        <w:t xml:space="preserve">• E-Mail-Zustellfehler.</w:t>
      </w:r>
    </w:p>
    <w:p>
      <w:pPr>
        <w:pStyle w:val="ListBullet"/>
        <w:ind w:left="360" w:hanging="240"/>
      </w:pPr>
      <w:r>
        <w:t xml:space="preserve">• Anmeldefehler, Rate-Limit-Ereignisse und verdächtige Cross-Tenant-Versuche.</w:t>
      </w:r>
    </w:p>
    <w:p>
      <w:pPr>
        <w:pStyle w:val="ListBullet"/>
        <w:ind w:left="360" w:hanging="240"/>
      </w:pPr>
      <w:r>
        <w:t xml:space="preserve">• Nutzungslimiten je Tarif, ohne unnötige personenbezogene Auswertung.</w:t>
      </w:r>
    </w:p>
    <w:p>
      <w:pPr>
        <w:pStyle w:val="Heading2"/>
        <w:keepNext/>
      </w:pPr>
      <w:r>
        <w:t xml:space="preserve">19.2 Logging</w:t>
      </w:r>
    </w:p>
    <w:p>
      <w:r>
        <w:t xml:space="preserve">Jeder Request erhält eine Request-ID; Logs enthalten interne Mandanten-ID, technische Route, Status und Laufzeit. Namen, E-Mail-Adressen, Zeitenlisten, Zahlungsdaten, Passwörter, Session-IDs und vollständige Webhook-Payloads werden nicht unkontrolliert protokolliert. Der Zugriff auf Logs ist rollenbeschränkt und die Aufbewahrung definiert.</w:t>
      </w:r>
    </w:p>
    <w:p>
      <w:pPr>
        <w:pStyle w:val="Heading2"/>
        <w:keepNext/>
      </w:pPr>
      <w:r>
        <w:t xml:space="preserve">19.3 Auditlog</w:t>
      </w:r>
    </w:p>
    <w:p>
      <w:r>
        <w:t xml:space="preserve">Das fachliche Auditlog ist vom technischen Log zu unterscheiden. Es dokumentiert beispielsweise Benutzerinvitationen, Rollenänderungen, Anlasslöschungen, Resultatkorrekturen, Publikationen, Exporte, Supportzugriffe, Kulanzfreigaben und Kontolöschungen. Auditdaten sind manipulationsarm und mit einer nachvollziehbaren Aufbewahrungsfrist zu speichern.</w:t>
      </w:r>
    </w:p>
    <w:p>
      <w:pPr>
        <w:pStyle w:val="Heading2"/>
        <w:keepNext/>
      </w:pPr>
      <w:r>
        <w:t xml:space="preserve">19.4 Supportprozess</w:t>
      </w:r>
    </w:p>
    <w:p>
      <w:pPr>
        <w:pStyle w:val="ListBullet"/>
        <w:ind w:left="360" w:hanging="240"/>
      </w:pPr>
      <w:r>
        <w:t xml:space="preserve">• Öffentliche Statusseite für grössere Störungen.</w:t>
      </w:r>
    </w:p>
    <w:p>
      <w:pPr>
        <w:pStyle w:val="ListBullet"/>
        <w:ind w:left="360" w:hanging="240"/>
      </w:pPr>
      <w:r>
        <w:t xml:space="preserve">• Supportticket mit Kunde, Anlass, Zeitpunkt und Request-ID.</w:t>
      </w:r>
    </w:p>
    <w:p>
      <w:pPr>
        <w:pStyle w:val="ListBullet"/>
        <w:ind w:left="360" w:hanging="240"/>
      </w:pPr>
      <w:r>
        <w:t xml:space="preserve">• Prioritätsstufen und Eskalationswege, insbesondere am Veranstaltungstag.</w:t>
      </w:r>
    </w:p>
    <w:p>
      <w:pPr>
        <w:pStyle w:val="ListBullet"/>
        <w:ind w:left="360" w:hanging="240"/>
      </w:pPr>
      <w:r>
        <w:t xml:space="preserve">• Supportzugriff nur nach Bedarf und mit sichtbarer Auditspur.</w:t>
      </w:r>
    </w:p>
    <w:p>
      <w:pPr>
        <w:pStyle w:val="ListBullet"/>
        <w:ind w:left="360" w:hanging="240"/>
      </w:pPr>
      <w:r>
        <w:t xml:space="preserve">• Keine Passwörter oder Datenbankzugänge per E-Mail austauschen.</w:t>
      </w:r>
    </w:p>
    <w:p>
      <w:pPr>
        <w:pStyle w:val="ListBullet"/>
        <w:ind w:left="360" w:hanging="240"/>
      </w:pPr>
      <w:r>
        <w:t xml:space="preserve">• Post-Mortem für erhebliche Vorfälle mit Massnahmenverfolgung.</w:t>
      </w:r>
    </w:p>
    <w:p>
      <w:pPr>
        <w:pStyle w:val="Heading1"/>
        <w:keepNext/>
      </w:pPr>
      <w:r>
        <w:t xml:space="preserve">20. Releases und Datenbankmigrationen</w:t>
      </w:r>
    </w:p>
    <w:p>
      <w:pPr>
        <w:pStyle w:val="Heading2"/>
        <w:keepNext/>
      </w:pPr>
      <w:r>
        <w:t xml:space="preserve">20.1 Eine Codebasis</w:t>
      </w:r>
    </w:p>
    <w:p>
      <w:r>
        <w:t xml:space="preserve">Alle Standardkunden nutzen denselben Release. Kundenspezifische Unterschiede werden über Konfiguration, Branding, Tarife und Feature Flags abgebildet. Kundenspezifische Codebranches sind zu vermeiden, weil sie Sicherheitskorrekturen und Tests dauerhaft verteuern.</w:t>
      </w:r>
    </w:p>
    <w:p>
      <w:pPr>
        <w:pStyle w:val="Heading2"/>
        <w:keepNext/>
      </w:pPr>
      <w:r>
        <w:t xml:space="preserve">20.2 Migration vieler Kundendatenbanken</w:t>
      </w:r>
    </w:p>
    <w:p>
      <w:pPr>
        <w:pStyle w:val="ListNumber"/>
        <w:ind w:left="360" w:hanging="300"/>
      </w:pPr>
      <w:r>
        <w:rPr>
          <w:b/>
          <w:color w:val="176B87"/>
        </w:rPr>
        <w:t xml:space="preserve">1  </w:t>
      </w:r>
      <w:r>
        <w:t xml:space="preserve">Neue Version und Migration in automatisierten Tests prüfen.</w:t>
      </w:r>
    </w:p>
    <w:p>
      <w:pPr>
        <w:pStyle w:val="ListNumber"/>
        <w:ind w:left="360" w:hanging="300"/>
      </w:pPr>
      <w:r>
        <w:rPr>
          <w:b/>
          <w:color w:val="176B87"/>
        </w:rPr>
        <w:t xml:space="preserve">2  </w:t>
      </w:r>
      <w:r>
        <w:t xml:space="preserve">Staging mit realitätsnah anonymisierten Daten testen.</w:t>
      </w:r>
    </w:p>
    <w:p>
      <w:pPr>
        <w:pStyle w:val="ListNumber"/>
        <w:ind w:left="360" w:hanging="300"/>
      </w:pPr>
      <w:r>
        <w:rPr>
          <w:b/>
          <w:color w:val="176B87"/>
        </w:rPr>
        <w:t xml:space="preserve">3  </w:t>
      </w:r>
      <w:r>
        <w:t xml:space="preserve">Migration auf internen Testmandanten ausführen.</w:t>
      </w:r>
    </w:p>
    <w:p>
      <w:pPr>
        <w:pStyle w:val="ListNumber"/>
        <w:ind w:left="360" w:hanging="300"/>
      </w:pPr>
      <w:r>
        <w:rPr>
          <w:b/>
          <w:color w:val="176B87"/>
        </w:rPr>
        <w:t xml:space="preserve">4  </w:t>
      </w:r>
      <w:r>
        <w:t xml:space="preserve">Kleine Pilotgruppe beziehungsweise Canary-Mandanten aktualisieren.</w:t>
      </w:r>
    </w:p>
    <w:p>
      <w:pPr>
        <w:pStyle w:val="ListNumber"/>
        <w:ind w:left="360" w:hanging="300"/>
      </w:pPr>
      <w:r>
        <w:rPr>
          <w:b/>
          <w:color w:val="176B87"/>
        </w:rPr>
        <w:t xml:space="preserve">5  </w:t>
      </w:r>
      <w:r>
        <w:t xml:space="preserve">Rollout in kontrollierten Batches mit Status pro Kundendatenbank.</w:t>
      </w:r>
    </w:p>
    <w:p>
      <w:pPr>
        <w:pStyle w:val="ListNumber"/>
        <w:ind w:left="360" w:hanging="300"/>
      </w:pPr>
      <w:r>
        <w:rPr>
          <w:b/>
          <w:color w:val="176B87"/>
        </w:rPr>
        <w:t xml:space="preserve">6  </w:t>
      </w:r>
      <w:r>
        <w:t xml:space="preserve">Fehlerhafte Mandanten stoppen, ohne bereits erfolgreiche Kunden zurückzusetzen.</w:t>
      </w:r>
    </w:p>
    <w:p>
      <w:pPr>
        <w:pStyle w:val="ListNumber"/>
        <w:ind w:left="360" w:hanging="300"/>
      </w:pPr>
      <w:r>
        <w:rPr>
          <w:b/>
          <w:color w:val="176B87"/>
        </w:rPr>
        <w:t xml:space="preserve">7  </w:t>
      </w:r>
      <w:r>
        <w:t xml:space="preserve">Kompatibilität zwischen alter und neuer App während des Rollouts sicherstellen.</w:t>
      </w:r>
    </w:p>
    <w:p>
      <w:pPr>
        <w:pStyle w:val="Heading2"/>
        <w:keepNext/>
      </w:pPr>
      <w:r>
        <w:t xml:space="preserve">20.3 Migrationsregeln</w:t>
      </w:r>
    </w:p>
    <w:p>
      <w:pPr>
        <w:pStyle w:val="ListBullet"/>
        <w:ind w:left="360" w:hanging="240"/>
      </w:pPr>
      <w:r>
        <w:t xml:space="preserve">• Jede Kundendatenbank führt eine schema_migrations-Tabelle.</w:t>
      </w:r>
    </w:p>
    <w:p>
      <w:pPr>
        <w:pStyle w:val="ListBullet"/>
        <w:ind w:left="360" w:hanging="240"/>
      </w:pPr>
      <w:r>
        <w:t xml:space="preserve">• Migrationen sind versioniert, überprüfbar und möglichst wiederanlauffähig.</w:t>
      </w:r>
    </w:p>
    <w:p>
      <w:pPr>
        <w:pStyle w:val="ListBullet"/>
        <w:ind w:left="360" w:hanging="240"/>
      </w:pPr>
      <w:r>
        <w:t xml:space="preserve">• Destruktive Änderungen erfolgen mehrstufig: zuerst erweitern, Daten migrieren, später entfernen.</w:t>
      </w:r>
    </w:p>
    <w:p>
      <w:pPr>
        <w:pStyle w:val="ListBullet"/>
        <w:ind w:left="360" w:hanging="240"/>
      </w:pPr>
      <w:r>
        <w:t xml:space="preserve">• Provisionierung neuer Kunden installiert direkt den aktuellen Stand.</w:t>
      </w:r>
    </w:p>
    <w:p>
      <w:pPr>
        <w:pStyle w:val="ListBullet"/>
        <w:ind w:left="360" w:hanging="240"/>
      </w:pPr>
      <w:r>
        <w:t xml:space="preserve">• Vor risikoreichen Migrationen existiert ein geprüftes Backup beziehungsweise Restore-Konzept.</w:t>
      </w:r>
    </w:p>
    <w:p>
      <w:pPr>
        <w:pStyle w:val="ListBullet"/>
        <w:ind w:left="360" w:hanging="240"/>
      </w:pPr>
      <w:r>
        <w:t xml:space="preserve">• Code-Rollback und Datenbank-Rollback werden getrennt geplant; ein blindes Down-Migration-Vertrauen genügt nicht.</w:t>
      </w:r>
    </w:p>
    <w:p>
      <w:pPr>
        <w:pStyle w:val="Heading1"/>
        <w:keepNext/>
      </w:pPr>
      <w:r>
        <w:t xml:space="preserve">21. Skalierung und Weiterentwicklung</w:t>
      </w:r>
    </w:p>
    <w:p>
      <w:pPr>
        <w:pStyle w:val="Heading2"/>
        <w:keepNext/>
      </w:pPr>
      <w:r>
        <w:t xml:space="preserve">21.1 Erwartete Skalierung</w:t>
      </w:r>
    </w:p>
    <w:p>
      <w:r>
        <w:t xml:space="preserve">Für die ersten Dutzend bis einige Hundert Kunden ist eine gemeinsame App mit separaten Datenbanken auf einem oder wenigen Clustern gut beherrschbar, sofern Provisionierung, Migrationen, Backups und Verbindungslimits automatisiert sind. Die exakte Grenze hängt stärker von Last, Datenmenge und Betriebsautomatisierung als von der blossen Kundenzahl ab.</w:t>
      </w:r>
    </w:p>
    <w:p>
      <w:pPr>
        <w:pStyle w:val="Heading2"/>
        <w:keepNext/>
      </w:pPr>
      <w:r>
        <w:t xml:space="preserve">21.2 Skalierungsstufen</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1900"/>
        <w:gridCol w:w="7600"/>
      </w:tblGrid>
      <w:tr>
        <w:tc>
          <w:tcPr>
            <w:tcW w:w="1900" w:type="dxa"/>
            <w:shd w:val="clear" w:color="auto" w:fill="DDEBF7"/>
            <w:vAlign w:val="top"/>
          </w:tcPr>
          <w:p>
            <w:pPr>
              <w:spacing w:after="40"/>
            </w:pPr>
            <w:r>
              <w:rPr>
                <w:b/>
              </w:rPr>
              <w:t xml:space="preserve">Stufe</w:t>
            </w:r>
          </w:p>
        </w:tc>
        <w:tc>
          <w:tcPr>
            <w:tcW w:w="7600" w:type="dxa"/>
            <w:shd w:val="clear" w:color="auto" w:fill="DDEBF7"/>
            <w:vAlign w:val="top"/>
          </w:tcPr>
          <w:p>
            <w:pPr>
              <w:spacing w:after="40"/>
            </w:pPr>
            <w:r>
              <w:rPr>
                <w:b/>
              </w:rPr>
              <w:t xml:space="preserve">Mögliche Architektur</w:t>
            </w:r>
          </w:p>
        </w:tc>
      </w:tr>
      <w:tr>
        <w:tc>
          <w:tcPr>
            <w:tcW w:w="1900" w:type="dxa"/>
            <w:vAlign w:val="top"/>
          </w:tcPr>
          <w:p>
            <w:pPr>
              <w:spacing w:after="40"/>
            </w:pPr>
            <w:r>
              <w:t xml:space="preserve">Pilot</w:t>
            </w:r>
          </w:p>
        </w:tc>
        <w:tc>
          <w:tcPr>
            <w:tcW w:w="7600" w:type="dxa"/>
            <w:vAlign w:val="top"/>
          </w:tcPr>
          <w:p>
            <w:pPr>
              <w:spacing w:after="40"/>
            </w:pPr>
            <w:r>
              <w:t xml:space="preserve">Eine App-Instanz, Plattform-DB und Kundendatenbanken auf kontrollierter Infrastruktur; tägliche Überwachung.</w:t>
            </w:r>
          </w:p>
        </w:tc>
      </w:tr>
      <w:tr>
        <w:tc>
          <w:tcPr>
            <w:tcW w:w="1900" w:type="dxa"/>
            <w:vAlign w:val="top"/>
          </w:tcPr>
          <w:p>
            <w:pPr>
              <w:spacing w:after="40"/>
            </w:pPr>
            <w:r>
              <w:t xml:space="preserve">Frühes Produkt</w:t>
            </w:r>
          </w:p>
        </w:tc>
        <w:tc>
          <w:tcPr>
            <w:tcW w:w="7600" w:type="dxa"/>
            <w:vAlign w:val="top"/>
          </w:tcPr>
          <w:p>
            <w:pPr>
              <w:spacing w:after="40"/>
            </w:pPr>
            <w:r>
              <w:t xml:space="preserve">Mehrere App-Instanzen, verwaltete DB, Objektstorage, Queue, zentrale Logs.</w:t>
            </w:r>
          </w:p>
        </w:tc>
      </w:tr>
      <w:tr>
        <w:tc>
          <w:tcPr>
            <w:tcW w:w="1900" w:type="dxa"/>
            <w:vAlign w:val="top"/>
          </w:tcPr>
          <w:p>
            <w:pPr>
              <w:spacing w:after="40"/>
            </w:pPr>
            <w:r>
              <w:t xml:space="preserve">Wachstum</w:t>
            </w:r>
          </w:p>
        </w:tc>
        <w:tc>
          <w:tcPr>
            <w:tcW w:w="7600" w:type="dxa"/>
            <w:vAlign w:val="top"/>
          </w:tcPr>
          <w:p>
            <w:pPr>
              <w:spacing w:after="40"/>
            </w:pPr>
            <w:r>
              <w:t xml:space="preserve">Mandanten auf mehrere DB-Cluster verteilen; Routing über Clusterzuordnung; getrennte Worker.</w:t>
            </w:r>
          </w:p>
        </w:tc>
      </w:tr>
      <w:tr>
        <w:tc>
          <w:tcPr>
            <w:tcW w:w="1900" w:type="dxa"/>
            <w:vAlign w:val="top"/>
          </w:tcPr>
          <w:p>
            <w:pPr>
              <w:spacing w:after="40"/>
            </w:pPr>
            <w:r>
              <w:t xml:space="preserve">Enterprise</w:t>
            </w:r>
          </w:p>
        </w:tc>
        <w:tc>
          <w:tcPr>
            <w:tcW w:w="7600" w:type="dxa"/>
            <w:vAlign w:val="top"/>
          </w:tcPr>
          <w:p>
            <w:pPr>
              <w:spacing w:after="40"/>
            </w:pPr>
            <w:r>
              <w:t xml:space="preserve">Optionale dedizierte Cluster/Instanzen, eigene Schlüssel, kundenspezifische SLAs.</w:t>
            </w:r>
          </w:p>
        </w:tc>
      </w:tr>
    </w:tbl>
    <w:p>
      <w:pPr>
        <w:spacing w:after="40"/>
      </w:pPr>
      <w:r>
        <w:t xml:space="preserve"/>
      </w:r>
    </w:p>
    <w:p>
      <w:pPr>
        <w:pStyle w:val="Heading2"/>
        <w:keepNext/>
      </w:pPr>
      <w:r>
        <w:t xml:space="preserve">21.3 Zukunftsoptionen</w:t>
      </w:r>
    </w:p>
    <w:p>
      <w:pPr>
        <w:pStyle w:val="ListBullet"/>
        <w:ind w:left="360" w:hanging="240"/>
      </w:pPr>
      <w:r>
        <w:t xml:space="preserve">• Eigene Kundendomains.</w:t>
      </w:r>
    </w:p>
    <w:p>
      <w:pPr>
        <w:pStyle w:val="ListBullet"/>
        <w:ind w:left="360" w:hanging="240"/>
      </w:pPr>
      <w:r>
        <w:t xml:space="preserve">• Mehrsprachigkeit.</w:t>
      </w:r>
    </w:p>
    <w:p>
      <w:pPr>
        <w:pStyle w:val="ListBullet"/>
        <w:ind w:left="360" w:hanging="240"/>
      </w:pPr>
      <w:r>
        <w:t xml:space="preserve">• API und Integrationen mit Zeitmesssystemen.</w:t>
      </w:r>
    </w:p>
    <w:p>
      <w:pPr>
        <w:pStyle w:val="ListBullet"/>
        <w:ind w:left="360" w:hanging="240"/>
      </w:pPr>
      <w:r>
        <w:t xml:space="preserve">• Self-Service-Import aus Tabellen.</w:t>
      </w:r>
    </w:p>
    <w:p>
      <w:pPr>
        <w:pStyle w:val="ListBullet"/>
        <w:ind w:left="360" w:hanging="240"/>
      </w:pPr>
      <w:r>
        <w:t xml:space="preserve">• Öffentliche Live-Ranglisten.</w:t>
      </w:r>
    </w:p>
    <w:p>
      <w:pPr>
        <w:pStyle w:val="ListBullet"/>
        <w:ind w:left="360" w:hanging="240"/>
      </w:pPr>
      <w:r>
        <w:t xml:space="preserve">• Zusätzliche Veranstaltungsmodelle.</w:t>
      </w:r>
    </w:p>
    <w:p>
      <w:pPr>
        <w:pStyle w:val="ListBullet"/>
        <w:ind w:left="360" w:hanging="240"/>
      </w:pPr>
      <w:r>
        <w:t xml:space="preserve">• Offline-/Edge-Erfassung.</w:t>
      </w:r>
    </w:p>
    <w:p>
      <w:pPr>
        <w:pStyle w:val="ListBullet"/>
        <w:ind w:left="360" w:hanging="240"/>
      </w:pPr>
      <w:r>
        <w:t xml:space="preserve">• Enterprise-Single-Sign-on.</w:t>
      </w:r>
    </w:p>
    <w:p>
      <w:pPr>
        <w:pStyle w:val="ListBullet"/>
        <w:ind w:left="360" w:hanging="240"/>
      </w:pPr>
      <w:r>
        <w:t xml:space="preserve">• Dedizierte Instanz als Premiumtarif.</w:t>
      </w:r>
    </w:p>
    <w:p>
      <w:pPr>
        <w:pStyle w:val="Heading1"/>
        <w:keepNext/>
      </w:pPr>
      <w:r>
        <w:t xml:space="preserve">22. Produkt- und Preismodell</w:t>
      </w:r>
    </w:p>
    <w:p>
      <w:pPr>
        <w:pStyle w:val="Heading2"/>
        <w:keepNext/>
      </w:pPr>
      <w:r>
        <w:t xml:space="preserve">22.1 Empfehlung für den Start</w:t>
      </w:r>
    </w:p>
    <w:p>
      <w:r>
        <w:t xml:space="preserve">Die erste Marktversion sollte möglichst wenige Tarife haben. Ein einfacher Haupttarif und optional ein grösserer Tarif sind leichter zu erklären, zu bauen und zu supporten als viele kleinteilige Pakete. Eine manuelle Sonderofferte kann frühe Ausnahmen abdecken, ohne das Produktmodell sofort zu verkomplizieren.</w:t>
      </w:r>
    </w:p>
    <w:p>
      <w:pPr>
        <w:pStyle w:val="Heading2"/>
        <w:keepNext/>
      </w:pPr>
      <w:r>
        <w:t xml:space="preserve">22.2 Mögliche Abrechnungsdimensionen</w:t>
      </w:r>
    </w:p>
    <w:p>
      <w:pPr>
        <w:pStyle w:val="ListBullet"/>
        <w:ind w:left="360" w:hanging="240"/>
      </w:pPr>
      <w:r>
        <w:t xml:space="preserve">• Pro Organisation und Monat beziehungsweise Jahr.</w:t>
      </w:r>
    </w:p>
    <w:p>
      <w:pPr>
        <w:pStyle w:val="ListBullet"/>
        <w:ind w:left="360" w:hanging="240"/>
      </w:pPr>
      <w:r>
        <w:t xml:space="preserve">• Anzahl aktiver Laufanlässe pro Aboperiode.</w:t>
      </w:r>
    </w:p>
    <w:p>
      <w:pPr>
        <w:pStyle w:val="ListBullet"/>
        <w:ind w:left="360" w:hanging="240"/>
      </w:pPr>
      <w:r>
        <w:t xml:space="preserve">• Maximale Teilnehmendenzahl pro Anlass oder Jahr.</w:t>
      </w:r>
    </w:p>
    <w:p>
      <w:pPr>
        <w:pStyle w:val="ListBullet"/>
        <w:ind w:left="360" w:hanging="240"/>
      </w:pPr>
      <w:r>
        <w:t xml:space="preserve">• Anzahl Benutzerkonten.</w:t>
      </w:r>
    </w:p>
    <w:p>
      <w:pPr>
        <w:pStyle w:val="ListBullet"/>
        <w:ind w:left="360" w:hanging="240"/>
      </w:pPr>
      <w:r>
        <w:t xml:space="preserve">• Speicher- und Exportvolumen.</w:t>
      </w:r>
    </w:p>
    <w:p>
      <w:pPr>
        <w:pStyle w:val="ListBullet"/>
        <w:ind w:left="360" w:hanging="240"/>
      </w:pPr>
      <w:r>
        <w:t xml:space="preserve">• Zusatzleistungen wie eigene Domain, erweiterter Support oder dedizierte Instanz.</w:t>
      </w:r>
    </w:p>
    <w:p>
      <w:pPr>
        <w:pStyle w:val="Heading2"/>
        <w:keepNext/>
      </w:pPr>
      <w:r>
        <w:t xml:space="preserve">22.3 Produktpolitische Empfehlung</w:t>
      </w:r>
    </w:p>
    <w:p>
      <w:r>
        <w:t xml:space="preserve">Für frühe Kunden ist eine jährliche Organisationslizenz mit grosszügigen Limiten vermutlich einfacher als komplexe nutzungsabhängige Abrechnung. Die Anwendung wird saisonal genutzt; ein reines Monatsabo könnte zu häufigem Kündigen und Reaktivieren führen. Diese Annahme muss mit potenziellen Kunden validiert werden.</w:t>
      </w:r>
    </w:p>
    <w:p>
      <w:pPr>
        <w:pStyle w:val="Heading2"/>
        <w:keepNext/>
      </w:pPr>
      <w:r>
        <w:t xml:space="preserve">22.4 Testphase</w:t>
      </w:r>
    </w:p>
    <w:p>
      <w:r>
        <w:t xml:space="preserve">Eine Testphase kann auf einen Demo-Anlass, begrenzte Teilnehmerzahl oder Wasserzeichen in Exporten beschränkt werden. Eine Testphase darf die später notwendige Datenlöschung und die Behandlung nicht bezahlter Konten nicht umgehen.</w:t>
      </w:r>
    </w:p>
    <w:p>
      <w:pPr>
        <w:pStyle w:val="Heading2"/>
        <w:keepNext/>
      </w:pPr>
      <w:r>
        <w:t xml:space="preserve">22.5 Nutzungslimiten</w:t>
      </w:r>
    </w:p>
    <w:p>
      <w:r>
        <w:t xml:space="preserve">Limiten werden serverseitig geprüft und dem Kunden frühzeitig transparent angezeigt. Beim Erreichen einer Grenze sollten bestehende Daten nicht unzugänglich werden; stattdessen wird die Erstellung zusätzlicher Ressourcen verhindert und ein Upgrade angeboten.</w:t>
      </w:r>
    </w:p>
    <w:p>
      <w:pPr>
        <w:pStyle w:val="Heading1"/>
        <w:keepNext/>
      </w:pPr>
      <w:r>
        <w:t xml:space="preserve">23. Fehler- und Sonderfälle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3100"/>
        <w:gridCol w:w="6400"/>
      </w:tblGrid>
      <w:tr>
        <w:tc>
          <w:tcPr>
            <w:tcW w:w="3100" w:type="dxa"/>
            <w:shd w:val="clear" w:color="auto" w:fill="DDEBF7"/>
            <w:vAlign w:val="top"/>
          </w:tcPr>
          <w:p>
            <w:pPr>
              <w:spacing w:after="40"/>
            </w:pPr>
            <w:r>
              <w:rPr>
                <w:b/>
              </w:rPr>
              <w:t xml:space="preserve">Szenario</w:t>
            </w:r>
          </w:p>
        </w:tc>
        <w:tc>
          <w:tcPr>
            <w:tcW w:w="6400" w:type="dxa"/>
            <w:shd w:val="clear" w:color="auto" w:fill="DDEBF7"/>
            <w:vAlign w:val="top"/>
          </w:tcPr>
          <w:p>
            <w:pPr>
              <w:spacing w:after="40"/>
            </w:pPr>
            <w:r>
              <w:rPr>
                <w:b/>
              </w:rPr>
              <w:t xml:space="preserve">Erwartetes Verhalten</w:t>
            </w:r>
          </w:p>
        </w:tc>
      </w:tr>
      <w:tr>
        <w:tc>
          <w:tcPr>
            <w:tcW w:w="3100" w:type="dxa"/>
            <w:vAlign w:val="top"/>
          </w:tcPr>
          <w:p>
            <w:pPr>
              <w:spacing w:after="40"/>
            </w:pPr>
            <w:r>
              <w:t xml:space="preserve">Subdomain bereits vergeben</w:t>
            </w:r>
          </w:p>
        </w:tc>
        <w:tc>
          <w:tcPr>
            <w:tcW w:w="6400" w:type="dxa"/>
            <w:vAlign w:val="top"/>
          </w:tcPr>
          <w:p>
            <w:pPr>
              <w:spacing w:after="40"/>
            </w:pPr>
            <w:r>
              <w:t xml:space="preserve">Checkout nicht starten; Alternativen anbieten; Reservation nach Frist freigeben.</w:t>
            </w:r>
          </w:p>
        </w:tc>
      </w:tr>
      <w:tr>
        <w:tc>
          <w:tcPr>
            <w:tcW w:w="3100" w:type="dxa"/>
            <w:vAlign w:val="top"/>
          </w:tcPr>
          <w:p>
            <w:pPr>
              <w:spacing w:after="40"/>
            </w:pPr>
            <w:r>
              <w:t xml:space="preserve">Zahlung bestätigt, Provisionierung scheitert</w:t>
            </w:r>
          </w:p>
        </w:tc>
        <w:tc>
          <w:tcPr>
            <w:tcW w:w="6400" w:type="dxa"/>
            <w:vAlign w:val="top"/>
          </w:tcPr>
          <w:p>
            <w:pPr>
              <w:spacing w:after="40"/>
            </w:pPr>
            <w:r>
              <w:t xml:space="preserve">Kein halbfertiger Zugang; Retry und Alarm; verständliche Statusseite.</w:t>
            </w:r>
          </w:p>
        </w:tc>
      </w:tr>
      <w:tr>
        <w:tc>
          <w:tcPr>
            <w:tcW w:w="3100" w:type="dxa"/>
            <w:vAlign w:val="top"/>
          </w:tcPr>
          <w:p>
            <w:pPr>
              <w:spacing w:after="40"/>
            </w:pPr>
            <w:r>
              <w:t xml:space="preserve">Webhook doppelt oder in anderer Reihenfolge</w:t>
            </w:r>
          </w:p>
        </w:tc>
        <w:tc>
          <w:tcPr>
            <w:tcW w:w="6400" w:type="dxa"/>
            <w:vAlign w:val="top"/>
          </w:tcPr>
          <w:p>
            <w:pPr>
              <w:spacing w:after="40"/>
            </w:pPr>
            <w:r>
              <w:t xml:space="preserve">Idempotente Verarbeitung und Statusregeln; keine doppelte DB.</w:t>
            </w:r>
          </w:p>
        </w:tc>
      </w:tr>
      <w:tr>
        <w:tc>
          <w:tcPr>
            <w:tcW w:w="3100" w:type="dxa"/>
            <w:vAlign w:val="top"/>
          </w:tcPr>
          <w:p>
            <w:pPr>
              <w:spacing w:after="40"/>
            </w:pPr>
            <w:r>
              <w:t xml:space="preserve">Zahlung fällt am Veranstaltungstag aus</w:t>
            </w:r>
          </w:p>
        </w:tc>
        <w:tc>
          <w:tcPr>
            <w:tcW w:w="6400" w:type="dxa"/>
            <w:vAlign w:val="top"/>
          </w:tcPr>
          <w:p>
            <w:pPr>
              <w:spacing w:after="40"/>
            </w:pPr>
            <w:r>
              <w:t xml:space="preserve">Kulanzfrist/Notfallfreigabe statt unmittelbarem Datenverlust.</w:t>
            </w:r>
          </w:p>
        </w:tc>
      </w:tr>
      <w:tr>
        <w:tc>
          <w:tcPr>
            <w:tcW w:w="3100" w:type="dxa"/>
            <w:vAlign w:val="top"/>
          </w:tcPr>
          <w:p>
            <w:pPr>
              <w:spacing w:after="40"/>
            </w:pPr>
            <w:r>
              <w:t xml:space="preserve">Kunde löscht versehentlich einen Anlass</w:t>
            </w:r>
          </w:p>
        </w:tc>
        <w:tc>
          <w:tcPr>
            <w:tcW w:w="6400" w:type="dxa"/>
            <w:vAlign w:val="top"/>
          </w:tcPr>
          <w:p>
            <w:pPr>
              <w:spacing w:after="40"/>
            </w:pPr>
            <w:r>
              <w:t xml:space="preserve">Bestätigungsdialog, Audit und definierte Wiederherstellungsoption.</w:t>
            </w:r>
          </w:p>
        </w:tc>
      </w:tr>
      <w:tr>
        <w:tc>
          <w:tcPr>
            <w:tcW w:w="3100" w:type="dxa"/>
            <w:vAlign w:val="top"/>
          </w:tcPr>
          <w:p>
            <w:pPr>
              <w:spacing w:after="40"/>
            </w:pPr>
            <w:r>
              <w:t xml:space="preserve">Kundendatenbank nicht erreichbar</w:t>
            </w:r>
          </w:p>
        </w:tc>
        <w:tc>
          <w:tcPr>
            <w:tcW w:w="6400" w:type="dxa"/>
            <w:vAlign w:val="top"/>
          </w:tcPr>
          <w:p>
            <w:pPr>
              <w:spacing w:after="40"/>
            </w:pPr>
            <w:r>
              <w:t xml:space="preserve">Kundenspezifische Fehlerseite; andere Kunden bleiben nutzbar; Alarm.</w:t>
            </w:r>
          </w:p>
        </w:tc>
      </w:tr>
      <w:tr>
        <w:tc>
          <w:tcPr>
            <w:tcW w:w="3100" w:type="dxa"/>
            <w:vAlign w:val="top"/>
          </w:tcPr>
          <w:p>
            <w:pPr>
              <w:spacing w:after="40"/>
            </w:pPr>
            <w:r>
              <w:t xml:space="preserve">Plattformdatenbank nicht erreichbar</w:t>
            </w:r>
          </w:p>
        </w:tc>
        <w:tc>
          <w:tcPr>
            <w:tcW w:w="6400" w:type="dxa"/>
            <w:vAlign w:val="top"/>
          </w:tcPr>
          <w:p>
            <w:pPr>
              <w:spacing w:after="40"/>
            </w:pPr>
            <w:r>
              <w:t xml:space="preserve">Geschützte Degradation/Caching prüfen; keine unsichere Standardzuordnung.</w:t>
            </w:r>
          </w:p>
        </w:tc>
      </w:tr>
      <w:tr>
        <w:tc>
          <w:tcPr>
            <w:tcW w:w="3100" w:type="dxa"/>
            <w:vAlign w:val="top"/>
          </w:tcPr>
          <w:p>
            <w:pPr>
              <w:spacing w:after="40"/>
            </w:pPr>
            <w:r>
              <w:t xml:space="preserve">Owner verlässt Organisation</w:t>
            </w:r>
          </w:p>
        </w:tc>
        <w:tc>
          <w:tcPr>
            <w:tcW w:w="6400" w:type="dxa"/>
            <w:vAlign w:val="top"/>
          </w:tcPr>
          <w:p>
            <w:pPr>
              <w:spacing w:after="40"/>
            </w:pPr>
            <w:r>
              <w:t xml:space="preserve">Eigentumsübertragung; mindestens ein Owner erzwingen.</w:t>
            </w:r>
          </w:p>
        </w:tc>
      </w:tr>
      <w:tr>
        <w:tc>
          <w:tcPr>
            <w:tcW w:w="3100" w:type="dxa"/>
            <w:vAlign w:val="top"/>
          </w:tcPr>
          <w:p>
            <w:pPr>
              <w:spacing w:after="40"/>
            </w:pPr>
            <w:r>
              <w:t xml:space="preserve">Subdomain wird umbenannt</w:t>
            </w:r>
          </w:p>
        </w:tc>
        <w:tc>
          <w:tcPr>
            <w:tcW w:w="6400" w:type="dxa"/>
            <w:vAlign w:val="top"/>
          </w:tcPr>
          <w:p>
            <w:pPr>
              <w:spacing w:after="40"/>
            </w:pPr>
            <w:r>
              <w:t xml:space="preserve">Neue Domain aktivieren, alte kontrolliert weiterleiten, Cookies und Publikationslinks beachten.</w:t>
            </w:r>
          </w:p>
        </w:tc>
      </w:tr>
      <w:tr>
        <w:tc>
          <w:tcPr>
            <w:tcW w:w="3100" w:type="dxa"/>
            <w:vAlign w:val="top"/>
          </w:tcPr>
          <w:p>
            <w:pPr>
              <w:spacing w:after="40"/>
            </w:pPr>
            <w:r>
              <w:t xml:space="preserve">Abo reaktiviert</w:t>
            </w:r>
          </w:p>
        </w:tc>
        <w:tc>
          <w:tcPr>
            <w:tcW w:w="6400" w:type="dxa"/>
            <w:vAlign w:val="top"/>
          </w:tcPr>
          <w:p>
            <w:pPr>
              <w:spacing w:after="40"/>
            </w:pPr>
            <w:r>
              <w:t xml:space="preserve">Bestehende Daten innerhalb Aufbewahrungsfrist wieder freischalten; sonst neue Provisionierung.</w:t>
            </w:r>
          </w:p>
        </w:tc>
      </w:tr>
      <w:tr>
        <w:tc>
          <w:tcPr>
            <w:tcW w:w="3100" w:type="dxa"/>
            <w:vAlign w:val="top"/>
          </w:tcPr>
          <w:p>
            <w:pPr>
              <w:spacing w:after="40"/>
            </w:pPr>
            <w:r>
              <w:t xml:space="preserve">Kunde verlangt vollständige Löschung</w:t>
            </w:r>
          </w:p>
        </w:tc>
        <w:tc>
          <w:tcPr>
            <w:tcW w:w="6400" w:type="dxa"/>
            <w:vAlign w:val="top"/>
          </w:tcPr>
          <w:p>
            <w:pPr>
              <w:spacing w:after="40"/>
            </w:pPr>
            <w:r>
              <w:t xml:space="preserve">Export optional, aktive Daten und Dateien löschen, Backupablauf dokumentieren.</w:t>
            </w:r>
          </w:p>
        </w:tc>
      </w:tr>
      <w:tr>
        <w:tc>
          <w:tcPr>
            <w:tcW w:w="3100" w:type="dxa"/>
            <w:vAlign w:val="top"/>
          </w:tcPr>
          <w:p>
            <w:pPr>
              <w:spacing w:after="40"/>
            </w:pPr>
            <w:r>
              <w:t xml:space="preserve">Massiver Import oder Export</w:t>
            </w:r>
          </w:p>
        </w:tc>
        <w:tc>
          <w:tcPr>
            <w:tcW w:w="6400" w:type="dxa"/>
            <w:vAlign w:val="top"/>
          </w:tcPr>
          <w:p>
            <w:pPr>
              <w:spacing w:after="40"/>
            </w:pPr>
            <w:r>
              <w:t xml:space="preserve">Asynchroner Job, Fortschritt, Grössenlimit und sichere Downloadbereitstellung.</w:t>
            </w:r>
          </w:p>
        </w:tc>
      </w:tr>
    </w:tbl>
    <w:p>
      <w:pPr>
        <w:spacing w:after="40"/>
      </w:pPr>
      <w:r>
        <w:t xml:space="preserve"/>
      </w:r>
    </w:p>
    <w:p>
      <w:pPr>
        <w:pStyle w:val="Heading1"/>
        <w:keepNext/>
      </w:pPr>
      <w:r>
        <w:t xml:space="preserve">24. Test- und Qualitätssicherung</w:t>
      </w:r>
    </w:p>
    <w:p>
      <w:pPr>
        <w:pStyle w:val="Heading2"/>
        <w:keepNext/>
      </w:pPr>
      <w:r>
        <w:t xml:space="preserve">24.1 Testebenen</w:t>
      </w:r>
    </w:p>
    <w:p>
      <w:pPr>
        <w:pStyle w:val="ListBullet"/>
        <w:ind w:left="360" w:hanging="240"/>
      </w:pPr>
      <w:r>
        <w:t xml:space="preserve">• Unit-Tests für Zeitparser, Rangierung, Finalistenauswahl, Tarif- und Statuslogik.</w:t>
      </w:r>
    </w:p>
    <w:p>
      <w:pPr>
        <w:pStyle w:val="ListBullet"/>
        <w:ind w:left="360" w:hanging="240"/>
      </w:pPr>
      <w:r>
        <w:t xml:space="preserve">• Integrationstests gegen MariaDB für Provisionierung, Migrationen und Datenbankzuordnung.</w:t>
      </w:r>
    </w:p>
    <w:p>
      <w:pPr>
        <w:pStyle w:val="ListBullet"/>
        <w:ind w:left="360" w:hanging="240"/>
      </w:pPr>
      <w:r>
        <w:t xml:space="preserve">• HTTP-/End-to-End-Tests für Registrierung, Login, Einladung, Anlassworkflow, Export und Kündigung.</w:t>
      </w:r>
    </w:p>
    <w:p>
      <w:pPr>
        <w:pStyle w:val="ListBullet"/>
        <w:ind w:left="360" w:hanging="240"/>
      </w:pPr>
      <w:r>
        <w:t xml:space="preserve">• Webhook-Vertragstests mit signierten Testereignissen und doppelter Zustellung.</w:t>
      </w:r>
    </w:p>
    <w:p>
      <w:pPr>
        <w:pStyle w:val="ListBullet"/>
        <w:ind w:left="360" w:hanging="240"/>
      </w:pPr>
      <w:r>
        <w:t xml:space="preserve">• Backup-/Restore-Tests je Kundendatenbank.</w:t>
      </w:r>
    </w:p>
    <w:p>
      <w:pPr>
        <w:pStyle w:val="ListBullet"/>
        <w:ind w:left="360" w:hanging="240"/>
      </w:pPr>
      <w:r>
        <w:t xml:space="preserve">• Lasttests für Schnellerfassung und Ranglisten während eines simulierten Anlasses.</w:t>
      </w:r>
    </w:p>
    <w:p>
      <w:pPr>
        <w:pStyle w:val="ListBullet"/>
        <w:ind w:left="360" w:hanging="240"/>
      </w:pPr>
      <w:r>
        <w:t xml:space="preserve">• Security-Tests für CSRF, XSS, IDOR, Rolleneskalation, Host-Header und Uploads.</w:t>
      </w:r>
    </w:p>
    <w:p>
      <w:pPr>
        <w:pStyle w:val="ListBullet"/>
        <w:ind w:left="360" w:hanging="240"/>
      </w:pPr>
      <w:r>
        <w:t xml:space="preserve">• Manuelle Usability-Tests mit tatsächlichen Veranstaltern.</w:t>
      </w:r>
    </w:p>
    <w:p>
      <w:pPr>
        <w:pStyle w:val="Heading2"/>
        <w:keepNext/>
      </w:pPr>
      <w:r>
        <w:t xml:space="preserve">24.2 Mandantenisolationsmatrix</w:t>
      </w:r>
    </w:p>
    <w:p>
      <w:r>
        <w:t xml:space="preserve">Für jede relevante Ressource wird mindestens geprüft: gleicher Benutzer/richtiger Kunde erlaubt; gleicher Benutzer/falscher Kunde verweigert; andere Rolle/richtiger Kunde gemäss Rolle; nicht angemeldet verweigert; gesperrter Kunde verweigert; öffentliche Freigabe nur im definierten Umfang.</w:t>
      </w:r>
    </w:p>
    <w:p>
      <w:pPr>
        <w:pStyle w:val="Heading2"/>
        <w:keepNext/>
      </w:pPr>
      <w:r>
        <w:t xml:space="preserve">24.3 Release-Gates</w:t>
      </w:r>
    </w:p>
    <w:p>
      <w:pPr>
        <w:pStyle w:val="ListBullet"/>
        <w:ind w:left="360" w:hanging="240"/>
      </w:pPr>
      <w:r>
        <w:t xml:space="preserve">• Alle automatisierten Tests erfolgreich.</w:t>
      </w:r>
    </w:p>
    <w:p>
      <w:pPr>
        <w:pStyle w:val="ListBullet"/>
        <w:ind w:left="360" w:hanging="240"/>
      </w:pPr>
      <w:r>
        <w:t xml:space="preserve">• Keine offene kritische Sicherheitslücke.</w:t>
      </w:r>
    </w:p>
    <w:p>
      <w:pPr>
        <w:pStyle w:val="ListBullet"/>
        <w:ind w:left="360" w:hanging="240"/>
      </w:pPr>
      <w:r>
        <w:t xml:space="preserve">• Migration auf repräsentativen Daten erfolgreich.</w:t>
      </w:r>
    </w:p>
    <w:p>
      <w:pPr>
        <w:pStyle w:val="ListBullet"/>
        <w:ind w:left="360" w:hanging="240"/>
      </w:pPr>
      <w:r>
        <w:t xml:space="preserve">• Backup und Rollback-/Forward-Fix-Plan vorhanden.</w:t>
      </w:r>
    </w:p>
    <w:p>
      <w:pPr>
        <w:pStyle w:val="ListBullet"/>
        <w:ind w:left="360" w:hanging="240"/>
      </w:pPr>
      <w:r>
        <w:t xml:space="preserve">• Monitoring und Alarmierung für neue Komponente aktiv.</w:t>
      </w:r>
    </w:p>
    <w:p>
      <w:pPr>
        <w:pStyle w:val="ListBullet"/>
        <w:ind w:left="360" w:hanging="240"/>
      </w:pPr>
      <w:r>
        <w:t xml:space="preserve">• Dokumentation und Supporthinweise aktualisiert.</w:t>
      </w:r>
    </w:p>
    <w:p>
      <w:pPr>
        <w:pStyle w:val="Heading1"/>
        <w:keepNext/>
      </w:pPr>
      <w:r>
        <w:t xml:space="preserve">25. Migration der bestehenden Anwendung</w:t>
      </w:r>
    </w:p>
    <w:p>
      <w:pPr>
        <w:pStyle w:val="Heading2"/>
        <w:keepNext/>
      </w:pPr>
      <w:r>
        <w:t xml:space="preserve">25.1 Technische Vorbereitung</w:t>
      </w:r>
    </w:p>
    <w:p>
      <w:r>
        <w:t xml:space="preserve">Vor der SaaS-Erweiterung sollte die Anwendung strukturell stabilisiert werden. Die aktuelle kompakte Architektur ist für ein lokales Werkzeug verständlich, aber Mandanten-, Benutzer- und Aboanforderungen benötigen klar abgegrenzte Dienste und eine zentrale Fehlerbehandlung.</w:t>
      </w:r>
    </w:p>
    <w:p>
      <w:pPr>
        <w:pStyle w:val="Heading2"/>
        <w:keepNext/>
      </w:pPr>
      <w:r>
        <w:t xml:space="preserve">25.2 Vorgeschlagene Refaktorierung</w:t>
      </w:r>
    </w:p>
    <w:p>
      <w:pPr>
        <w:pStyle w:val="ListNumber"/>
        <w:ind w:left="360" w:hanging="300"/>
      </w:pPr>
      <w:r>
        <w:rPr>
          <w:b/>
          <w:color w:val="176B87"/>
        </w:rPr>
        <w:t xml:space="preserve">1  </w:t>
      </w:r>
      <w:r>
        <w:t xml:space="preserve">Fachlogik aus dem Front Controller in Services und Repositories verschieben.</w:t>
      </w:r>
    </w:p>
    <w:p>
      <w:pPr>
        <w:pStyle w:val="ListNumber"/>
        <w:ind w:left="360" w:hanging="300"/>
      </w:pPr>
      <w:r>
        <w:rPr>
          <w:b/>
          <w:color w:val="176B87"/>
        </w:rPr>
        <w:t xml:space="preserve">2  </w:t>
      </w:r>
      <w:r>
        <w:t xml:space="preserve">Konfiguration, Datenbankzugriff und Routing klar kapseln.</w:t>
      </w:r>
    </w:p>
    <w:p>
      <w:pPr>
        <w:pStyle w:val="ListNumber"/>
        <w:ind w:left="360" w:hanging="300"/>
      </w:pPr>
      <w:r>
        <w:rPr>
          <w:b/>
          <w:color w:val="176B87"/>
        </w:rPr>
        <w:t xml:space="preserve">3  </w:t>
      </w:r>
      <w:r>
        <w:t xml:space="preserve">Automatisierte Tests für bestehende Kernprozesse erweitern.</w:t>
      </w:r>
    </w:p>
    <w:p>
      <w:pPr>
        <w:pStyle w:val="ListNumber"/>
        <w:ind w:left="360" w:hanging="300"/>
      </w:pPr>
      <w:r>
        <w:rPr>
          <w:b/>
          <w:color w:val="176B87"/>
        </w:rPr>
        <w:t xml:space="preserve">4  </w:t>
      </w:r>
      <w:r>
        <w:t xml:space="preserve">Authentifizierung und Rollen zunächst für eine einzelne Installation einführen.</w:t>
      </w:r>
    </w:p>
    <w:p>
      <w:pPr>
        <w:pStyle w:val="ListNumber"/>
        <w:ind w:left="360" w:hanging="300"/>
      </w:pPr>
      <w:r>
        <w:rPr>
          <w:b/>
          <w:color w:val="176B87"/>
        </w:rPr>
        <w:t xml:space="preserve">5  </w:t>
      </w:r>
      <w:r>
        <w:t xml:space="preserve">Mandantenkontext und Plattformdatenbank ergänzen.</w:t>
      </w:r>
    </w:p>
    <w:p>
      <w:pPr>
        <w:pStyle w:val="ListNumber"/>
        <w:ind w:left="360" w:hanging="300"/>
      </w:pPr>
      <w:r>
        <w:rPr>
          <w:b/>
          <w:color w:val="176B87"/>
        </w:rPr>
        <w:t xml:space="preserve">6  </w:t>
      </w:r>
      <w:r>
        <w:t xml:space="preserve">Manuelle Provisionierung mit separater Kundendatenbank testen.</w:t>
      </w:r>
    </w:p>
    <w:p>
      <w:pPr>
        <w:pStyle w:val="ListNumber"/>
        <w:ind w:left="360" w:hanging="300"/>
      </w:pPr>
      <w:r>
        <w:rPr>
          <w:b/>
          <w:color w:val="176B87"/>
        </w:rPr>
        <w:t xml:space="preserve">7  </w:t>
      </w:r>
      <w:r>
        <w:t xml:space="preserve">Erst danach Aboautomatisierung und Self-Service hinzufügen.</w:t>
      </w:r>
    </w:p>
    <w:p>
      <w:pPr>
        <w:pStyle w:val="Heading2"/>
        <w:keepNext/>
      </w:pPr>
      <w:r>
        <w:t xml:space="preserve">25.3 Übernahme bestehender Kunden</w:t>
      </w:r>
    </w:p>
    <w:p>
      <w:r>
        <w:t xml:space="preserve">Falls bereits produktive Einzelinstallationen existieren, wird pro Installation ein Importlauf erstellt: Datenbank sichern, Schema auf bekannte Version bringen, Daten in eine neue Kundendatenbank importieren, Dateien übernehmen, Zählwerte und Stichproben prüfen, Owner zuordnen und erst danach Domain umschalten. Der Ursprung bleibt bis zur bestätigten Abnahme unverändert und als Rückfalloption verfügbar.</w:t>
      </w:r>
    </w:p>
    <w:p>
      <w:pPr>
        <w:pStyle w:val="Heading2"/>
        <w:keepNext/>
      </w:pPr>
      <w:r>
        <w:t xml:space="preserve">25.4 Keine Big-Bang-Migration</w:t>
      </w:r>
    </w:p>
    <w:p>
      <w:r>
        <w:t xml:space="preserve">Die fachliche Weiterentwicklung und die SaaS-Infrastruktur sollten nicht gleichzeitig in einem ungetesteten Grossumbau live gehen. Ein interner Mandant und wenige Pilotkunden reduzieren das Risiko erheblich.</w:t>
      </w:r>
    </w:p>
    <w:p>
      <w:pPr>
        <w:pStyle w:val="Heading1"/>
        <w:keepNext/>
      </w:pPr>
      <w:r>
        <w:t xml:space="preserve">26. Umsetzungsetappen und Aufwand</w:t>
      </w:r>
    </w:p>
    <w:p>
      <w:r>
        <w:t xml:space="preserve">Die folgenden Werte sind grobe Entwicklungsgrössen für eine erfahrene Person beziehungsweise ein kleines Team. Sie enthalten keine verbindliche Offerte und hängen stark von gewünschter UI-Qualität, Hostingwahl, Zahlungsanbieter, Rechtsprüfung und Testtiefe ab.</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1800"/>
        <w:gridCol w:w="5300"/>
        <w:gridCol w:w="2400"/>
      </w:tblGrid>
      <w:tr>
        <w:tc>
          <w:tcPr>
            <w:tcW w:w="1800" w:type="dxa"/>
            <w:shd w:val="clear" w:color="auto" w:fill="DDEBF7"/>
            <w:vAlign w:val="top"/>
          </w:tcPr>
          <w:p>
            <w:pPr>
              <w:spacing w:after="40"/>
            </w:pPr>
            <w:r>
              <w:rPr>
                <w:b/>
              </w:rPr>
              <w:t xml:space="preserve">Phase</w:t>
            </w:r>
          </w:p>
        </w:tc>
        <w:tc>
          <w:tcPr>
            <w:tcW w:w="5300" w:type="dxa"/>
            <w:shd w:val="clear" w:color="auto" w:fill="DDEBF7"/>
            <w:vAlign w:val="top"/>
          </w:tcPr>
          <w:p>
            <w:pPr>
              <w:spacing w:after="40"/>
            </w:pPr>
            <w:r>
              <w:rPr>
                <w:b/>
              </w:rPr>
              <w:t xml:space="preserve">Inhalt</w:t>
            </w:r>
          </w:p>
        </w:tc>
        <w:tc>
          <w:tcPr>
            <w:tcW w:w="2400" w:type="dxa"/>
            <w:shd w:val="clear" w:color="auto" w:fill="DDEBF7"/>
            <w:vAlign w:val="top"/>
          </w:tcPr>
          <w:p>
            <w:pPr>
              <w:spacing w:after="40"/>
            </w:pPr>
            <w:r>
              <w:rPr>
                <w:b/>
              </w:rPr>
              <w:t xml:space="preserve">Grössenordnung</w:t>
            </w:r>
          </w:p>
        </w:tc>
      </w:tr>
      <w:tr>
        <w:tc>
          <w:tcPr>
            <w:tcW w:w="1800" w:type="dxa"/>
            <w:vAlign w:val="top"/>
          </w:tcPr>
          <w:p>
            <w:pPr>
              <w:spacing w:after="40"/>
            </w:pPr>
            <w:r>
              <w:t xml:space="preserve">0 – Produktentscheid</w:t>
            </w:r>
          </w:p>
        </w:tc>
        <w:tc>
          <w:tcPr>
            <w:tcW w:w="5300" w:type="dxa"/>
            <w:vAlign w:val="top"/>
          </w:tcPr>
          <w:p>
            <w:pPr>
              <w:spacing w:after="40"/>
            </w:pPr>
            <w:r>
              <w:t xml:space="preserve">Tarife, Rollen, Datenverantwortung, SLA, Hosting, Abo- und Löschregeln festlegen</w:t>
            </w:r>
          </w:p>
        </w:tc>
        <w:tc>
          <w:tcPr>
            <w:tcW w:w="2400" w:type="dxa"/>
            <w:vAlign w:val="top"/>
          </w:tcPr>
          <w:p>
            <w:pPr>
              <w:spacing w:after="40"/>
            </w:pPr>
            <w:r>
              <w:t xml:space="preserve">1–2 Wochen</w:t>
            </w:r>
          </w:p>
        </w:tc>
      </w:tr>
      <w:tr>
        <w:tc>
          <w:tcPr>
            <w:tcW w:w="1800" w:type="dxa"/>
            <w:vAlign w:val="top"/>
          </w:tcPr>
          <w:p>
            <w:pPr>
              <w:spacing w:after="40"/>
            </w:pPr>
            <w:r>
              <w:t xml:space="preserve">1 – Technische Basis</w:t>
            </w:r>
          </w:p>
        </w:tc>
        <w:tc>
          <w:tcPr>
            <w:tcW w:w="5300" w:type="dxa"/>
            <w:vAlign w:val="top"/>
          </w:tcPr>
          <w:p>
            <w:pPr>
              <w:spacing w:after="40"/>
            </w:pPr>
            <w:r>
              <w:t xml:space="preserve">Refaktorierung, Tests, Konfiguration, sichere Fehlerbehandlung</w:t>
            </w:r>
          </w:p>
        </w:tc>
        <w:tc>
          <w:tcPr>
            <w:tcW w:w="2400" w:type="dxa"/>
            <w:vAlign w:val="top"/>
          </w:tcPr>
          <w:p>
            <w:pPr>
              <w:spacing w:after="40"/>
            </w:pPr>
            <w:r>
              <w:t xml:space="preserve">3–5 Wochen</w:t>
            </w:r>
          </w:p>
        </w:tc>
      </w:tr>
      <w:tr>
        <w:tc>
          <w:tcPr>
            <w:tcW w:w="1800" w:type="dxa"/>
            <w:vAlign w:val="top"/>
          </w:tcPr>
          <w:p>
            <w:pPr>
              <w:spacing w:after="40"/>
            </w:pPr>
            <w:r>
              <w:t xml:space="preserve">2 – Identität und Mandanten</w:t>
            </w:r>
          </w:p>
        </w:tc>
        <w:tc>
          <w:tcPr>
            <w:tcW w:w="5300" w:type="dxa"/>
            <w:vAlign w:val="top"/>
          </w:tcPr>
          <w:p>
            <w:pPr>
              <w:spacing w:after="40"/>
            </w:pPr>
            <w:r>
              <w:t xml:space="preserve">Login, Rollen, Plattform-DB, Hostauflösung, separate Kundendatenbanken</w:t>
            </w:r>
          </w:p>
        </w:tc>
        <w:tc>
          <w:tcPr>
            <w:tcW w:w="2400" w:type="dxa"/>
            <w:vAlign w:val="top"/>
          </w:tcPr>
          <w:p>
            <w:pPr>
              <w:spacing w:after="40"/>
            </w:pPr>
            <w:r>
              <w:t xml:space="preserve">4–7 Wochen</w:t>
            </w:r>
          </w:p>
        </w:tc>
      </w:tr>
      <w:tr>
        <w:tc>
          <w:tcPr>
            <w:tcW w:w="1800" w:type="dxa"/>
            <w:vAlign w:val="top"/>
          </w:tcPr>
          <w:p>
            <w:pPr>
              <w:spacing w:after="40"/>
            </w:pPr>
            <w:r>
              <w:t xml:space="preserve">3 – Provisionierung und Betrieb</w:t>
            </w:r>
          </w:p>
        </w:tc>
        <w:tc>
          <w:tcPr>
            <w:tcW w:w="5300" w:type="dxa"/>
            <w:vAlign w:val="top"/>
          </w:tcPr>
          <w:p>
            <w:pPr>
              <w:spacing w:after="40"/>
            </w:pPr>
            <w:r>
              <w:t xml:space="preserve">Jobs, DB-/Storage-Bereitstellung, Wildcard-Domain, E-Mail, Monitoring, Backup</w:t>
            </w:r>
          </w:p>
        </w:tc>
        <w:tc>
          <w:tcPr>
            <w:tcW w:w="2400" w:type="dxa"/>
            <w:vAlign w:val="top"/>
          </w:tcPr>
          <w:p>
            <w:pPr>
              <w:spacing w:after="40"/>
            </w:pPr>
            <w:r>
              <w:t xml:space="preserve">3–6 Wochen</w:t>
            </w:r>
          </w:p>
        </w:tc>
      </w:tr>
      <w:tr>
        <w:tc>
          <w:tcPr>
            <w:tcW w:w="1800" w:type="dxa"/>
            <w:vAlign w:val="top"/>
          </w:tcPr>
          <w:p>
            <w:pPr>
              <w:spacing w:after="40"/>
            </w:pPr>
            <w:r>
              <w:t xml:space="preserve">4 – Abonnement</w:t>
            </w:r>
          </w:p>
        </w:tc>
        <w:tc>
          <w:tcPr>
            <w:tcW w:w="5300" w:type="dxa"/>
            <w:vAlign w:val="top"/>
          </w:tcPr>
          <w:p>
            <w:pPr>
              <w:spacing w:after="40"/>
            </w:pPr>
            <w:r>
              <w:t xml:space="preserve">Checkout, Webhooks, Statuslogik, Portal, Kulanz und Kündigung</w:t>
            </w:r>
          </w:p>
        </w:tc>
        <w:tc>
          <w:tcPr>
            <w:tcW w:w="2400" w:type="dxa"/>
            <w:vAlign w:val="top"/>
          </w:tcPr>
          <w:p>
            <w:pPr>
              <w:spacing w:after="40"/>
            </w:pPr>
            <w:r>
              <w:t xml:space="preserve">2–4 Wochen</w:t>
            </w:r>
          </w:p>
        </w:tc>
      </w:tr>
      <w:tr>
        <w:tc>
          <w:tcPr>
            <w:tcW w:w="1800" w:type="dxa"/>
            <w:vAlign w:val="top"/>
          </w:tcPr>
          <w:p>
            <w:pPr>
              <w:spacing w:after="40"/>
            </w:pPr>
            <w:r>
              <w:t xml:space="preserve">5 – Datenschutz und Hardening</w:t>
            </w:r>
          </w:p>
        </w:tc>
        <w:tc>
          <w:tcPr>
            <w:tcW w:w="5300" w:type="dxa"/>
            <w:vAlign w:val="top"/>
          </w:tcPr>
          <w:p>
            <w:pPr>
              <w:spacing w:after="40"/>
            </w:pPr>
            <w:r>
              <w:t xml:space="preserve">Exporte, Löschung, Audit, Security Review, Dokumente und Restore-Tests</w:t>
            </w:r>
          </w:p>
        </w:tc>
        <w:tc>
          <w:tcPr>
            <w:tcW w:w="2400" w:type="dxa"/>
            <w:vAlign w:val="top"/>
          </w:tcPr>
          <w:p>
            <w:pPr>
              <w:spacing w:after="40"/>
            </w:pPr>
            <w:r>
              <w:t xml:space="preserve">3–5 Wochen</w:t>
            </w:r>
          </w:p>
        </w:tc>
      </w:tr>
      <w:tr>
        <w:tc>
          <w:tcPr>
            <w:tcW w:w="1800" w:type="dxa"/>
            <w:vAlign w:val="top"/>
          </w:tcPr>
          <w:p>
            <w:pPr>
              <w:spacing w:after="40"/>
            </w:pPr>
            <w:r>
              <w:t xml:space="preserve">6 – Pilot</w:t>
            </w:r>
          </w:p>
        </w:tc>
        <w:tc>
          <w:tcPr>
            <w:tcW w:w="5300" w:type="dxa"/>
            <w:vAlign w:val="top"/>
          </w:tcPr>
          <w:p>
            <w:pPr>
              <w:spacing w:after="40"/>
            </w:pPr>
            <w:r>
              <w:t xml:space="preserve">Onboarding realer Kunden, Last-/Anlasstest, Fehlerbehebung und Betriebsübergabe</w:t>
            </w:r>
          </w:p>
        </w:tc>
        <w:tc>
          <w:tcPr>
            <w:tcW w:w="2400" w:type="dxa"/>
            <w:vAlign w:val="top"/>
          </w:tcPr>
          <w:p>
            <w:pPr>
              <w:spacing w:after="40"/>
            </w:pPr>
            <w:r>
              <w:t xml:space="preserve">2–4 Wochen</w:t>
            </w:r>
          </w:p>
        </w:tc>
      </w:tr>
    </w:tbl>
    <w:p>
      <w:pPr>
        <w:spacing w:after="40"/>
      </w:pPr>
      <w:r>
        <w:t xml:space="preserve"/>
      </w:r>
    </w:p>
    <w:p>
      <w:r>
        <w:t xml:space="preserve">Gesamtgrösse: ungefähr 18 bis 33 Entwicklungswochen für eine belastbare erste SaaS-Version, zuzüglich Branding, Rechts-/Steuerberatung und möglicher Infrastrukturarbeit. Durch Nutzung etablierter Komponenten kann Aufwand sinken; unklare Produktentscheide oder ein selbst gebautes Zahlungssystem erhöhen ihn deutlich.</w:t>
      </w:r>
    </w:p>
    <w:p>
      <w:pPr>
        <w:pStyle w:val="Heading2"/>
        <w:keepNext/>
      </w:pPr>
      <w:r>
        <w:t xml:space="preserve">26.1 Empfohlener Pilotansatz</w:t>
      </w:r>
    </w:p>
    <w:p>
      <w:pPr>
        <w:pStyle w:val="ListBullet"/>
        <w:ind w:left="360" w:hanging="240"/>
      </w:pPr>
      <w:r>
        <w:t xml:space="preserve">• Drei bis fünf Pilotkunden.</w:t>
      </w:r>
    </w:p>
    <w:p>
      <w:pPr>
        <w:pStyle w:val="ListBullet"/>
        <w:ind w:left="360" w:hanging="240"/>
      </w:pPr>
      <w:r>
        <w:t xml:space="preserve">• Provisionierung anfangs intern ausgelöst, aber bereits über denselben wiederholbaren Prozess.</w:t>
      </w:r>
    </w:p>
    <w:p>
      <w:pPr>
        <w:pStyle w:val="ListBullet"/>
        <w:ind w:left="360" w:hanging="240"/>
      </w:pPr>
      <w:r>
        <w:t xml:space="preserve">• Abrechnung während Pilot notfalls manuell, damit zuerst Mandanten- und Veranstaltungsbetrieb validiert wird.</w:t>
      </w:r>
    </w:p>
    <w:p>
      <w:pPr>
        <w:pStyle w:val="ListBullet"/>
        <w:ind w:left="360" w:hanging="240"/>
      </w:pPr>
      <w:r>
        <w:t xml:space="preserve">• Mindestens ein kompletter realer Anlass pro Pilotkunde.</w:t>
      </w:r>
    </w:p>
    <w:p>
      <w:pPr>
        <w:pStyle w:val="ListBullet"/>
        <w:ind w:left="360" w:hanging="240"/>
      </w:pPr>
      <w:r>
        <w:t xml:space="preserve">• Strukturierte Rückmeldung zu Einrichtung, Zeitmessung, Ranglisten und Support.</w:t>
      </w:r>
    </w:p>
    <w:p>
      <w:pPr>
        <w:pStyle w:val="ListBullet"/>
        <w:ind w:left="360" w:hanging="240"/>
      </w:pPr>
      <w:r>
        <w:t xml:space="preserve">• Erst nach erfolgreichem Pilot öffentlicher Self-Service-Checkout.</w:t>
      </w:r>
    </w:p>
    <w:p>
      <w:pPr>
        <w:pStyle w:val="Heading1"/>
        <w:keepNext/>
      </w:pPr>
      <w:r>
        <w:t xml:space="preserve">27. Risiken und Gegenmassnahmen</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600"/>
        <w:gridCol w:w="3000"/>
        <w:gridCol w:w="3900"/>
      </w:tblGrid>
      <w:tr>
        <w:tc>
          <w:tcPr>
            <w:tcW w:w="2600" w:type="dxa"/>
            <w:shd w:val="clear" w:color="auto" w:fill="DDEBF7"/>
            <w:vAlign w:val="top"/>
          </w:tcPr>
          <w:p>
            <w:pPr>
              <w:spacing w:after="40"/>
            </w:pPr>
            <w:r>
              <w:rPr>
                <w:b/>
              </w:rPr>
              <w:t xml:space="preserve">Risiko</w:t>
            </w:r>
          </w:p>
        </w:tc>
        <w:tc>
          <w:tcPr>
            <w:tcW w:w="3000" w:type="dxa"/>
            <w:shd w:val="clear" w:color="auto" w:fill="DDEBF7"/>
            <w:vAlign w:val="top"/>
          </w:tcPr>
          <w:p>
            <w:pPr>
              <w:spacing w:after="40"/>
            </w:pPr>
            <w:r>
              <w:rPr>
                <w:b/>
              </w:rPr>
              <w:t xml:space="preserve">Auswirkung</w:t>
            </w:r>
          </w:p>
        </w:tc>
        <w:tc>
          <w:tcPr>
            <w:tcW w:w="3900" w:type="dxa"/>
            <w:shd w:val="clear" w:color="auto" w:fill="DDEBF7"/>
            <w:vAlign w:val="top"/>
          </w:tcPr>
          <w:p>
            <w:pPr>
              <w:spacing w:after="40"/>
            </w:pPr>
            <w:r>
              <w:rPr>
                <w:b/>
              </w:rPr>
              <w:t xml:space="preserve">Gegenmassnahme</w:t>
            </w:r>
          </w:p>
        </w:tc>
      </w:tr>
      <w:tr>
        <w:tc>
          <w:tcPr>
            <w:tcW w:w="2600" w:type="dxa"/>
            <w:vAlign w:val="top"/>
          </w:tcPr>
          <w:p>
            <w:pPr>
              <w:spacing w:after="40"/>
            </w:pPr>
            <w:r>
              <w:t xml:space="preserve">Fremde Kundendaten werden sichtbar</w:t>
            </w:r>
          </w:p>
        </w:tc>
        <w:tc>
          <w:tcPr>
            <w:tcW w:w="3000" w:type="dxa"/>
            <w:vAlign w:val="top"/>
          </w:tcPr>
          <w:p>
            <w:pPr>
              <w:spacing w:after="40"/>
            </w:pPr>
            <w:r>
              <w:t xml:space="preserve">Existenzbedrohend, Datenschutzvorfall</w:t>
            </w:r>
          </w:p>
        </w:tc>
        <w:tc>
          <w:tcPr>
            <w:tcW w:w="3900" w:type="dxa"/>
            <w:vAlign w:val="top"/>
          </w:tcPr>
          <w:p>
            <w:pPr>
              <w:spacing w:after="40"/>
            </w:pPr>
            <w:r>
              <w:t xml:space="preserve">Separate DB, zentraler Kontext, Security Tests, Review.</w:t>
            </w:r>
          </w:p>
        </w:tc>
      </w:tr>
      <w:tr>
        <w:tc>
          <w:tcPr>
            <w:tcW w:w="2600" w:type="dxa"/>
            <w:vAlign w:val="top"/>
          </w:tcPr>
          <w:p>
            <w:pPr>
              <w:spacing w:after="40"/>
            </w:pPr>
            <w:r>
              <w:t xml:space="preserve">Ausfall während Veranstaltung</w:t>
            </w:r>
          </w:p>
        </w:tc>
        <w:tc>
          <w:tcPr>
            <w:tcW w:w="3000" w:type="dxa"/>
            <w:vAlign w:val="top"/>
          </w:tcPr>
          <w:p>
            <w:pPr>
              <w:spacing w:after="40"/>
            </w:pPr>
            <w:r>
              <w:t xml:space="preserve">Operativer Schaden und Vertrauensverlust</w:t>
            </w:r>
          </w:p>
        </w:tc>
        <w:tc>
          <w:tcPr>
            <w:tcW w:w="3900" w:type="dxa"/>
            <w:vAlign w:val="top"/>
          </w:tcPr>
          <w:p>
            <w:pPr>
              <w:spacing w:after="40"/>
            </w:pPr>
            <w:r>
              <w:t xml:space="preserve">Redundanz, Monitoring, Restore, Notfallplan, klare SLA.</w:t>
            </w:r>
          </w:p>
        </w:tc>
      </w:tr>
      <w:tr>
        <w:tc>
          <w:tcPr>
            <w:tcW w:w="2600" w:type="dxa"/>
            <w:vAlign w:val="top"/>
          </w:tcPr>
          <w:p>
            <w:pPr>
              <w:spacing w:after="40"/>
            </w:pPr>
            <w:r>
              <w:t xml:space="preserve">Zu frühe Zahlungsautomatisierung</w:t>
            </w:r>
          </w:p>
        </w:tc>
        <w:tc>
          <w:tcPr>
            <w:tcW w:w="3000" w:type="dxa"/>
            <w:vAlign w:val="top"/>
          </w:tcPr>
          <w:p>
            <w:pPr>
              <w:spacing w:after="40"/>
            </w:pPr>
            <w:r>
              <w:t xml:space="preserve">Komplexität ohne validierten Produktnutzen</w:t>
            </w:r>
          </w:p>
        </w:tc>
        <w:tc>
          <w:tcPr>
            <w:tcW w:w="3900" w:type="dxa"/>
            <w:vAlign w:val="top"/>
          </w:tcPr>
          <w:p>
            <w:pPr>
              <w:spacing w:after="40"/>
            </w:pPr>
            <w:r>
              <w:t xml:space="preserve">Pilot mit manueller Abrechnung; Billing später automatisieren.</w:t>
            </w:r>
          </w:p>
        </w:tc>
      </w:tr>
      <w:tr>
        <w:tc>
          <w:tcPr>
            <w:tcW w:w="2600" w:type="dxa"/>
            <w:vAlign w:val="top"/>
          </w:tcPr>
          <w:p>
            <w:pPr>
              <w:spacing w:after="40"/>
            </w:pPr>
            <w:r>
              <w:t xml:space="preserve">Viele kundenspezifische Wünsche</w:t>
            </w:r>
          </w:p>
        </w:tc>
        <w:tc>
          <w:tcPr>
            <w:tcW w:w="3000" w:type="dxa"/>
            <w:vAlign w:val="top"/>
          </w:tcPr>
          <w:p>
            <w:pPr>
              <w:spacing w:after="40"/>
            </w:pPr>
            <w:r>
              <w:t xml:space="preserve">Unwartbare Varianten</w:t>
            </w:r>
          </w:p>
        </w:tc>
        <w:tc>
          <w:tcPr>
            <w:tcW w:w="3900" w:type="dxa"/>
            <w:vAlign w:val="top"/>
          </w:tcPr>
          <w:p>
            <w:pPr>
              <w:spacing w:after="40"/>
            </w:pPr>
            <w:r>
              <w:t xml:space="preserve">Konfiguration/Feature Flags, klare Produktgrenzen, Enterprise-Angebot.</w:t>
            </w:r>
          </w:p>
        </w:tc>
      </w:tr>
      <w:tr>
        <w:tc>
          <w:tcPr>
            <w:tcW w:w="2600" w:type="dxa"/>
            <w:vAlign w:val="top"/>
          </w:tcPr>
          <w:p>
            <w:pPr>
              <w:spacing w:after="40"/>
            </w:pPr>
            <w:r>
              <w:t xml:space="preserve">Fehlerhafte Massenmigration</w:t>
            </w:r>
          </w:p>
        </w:tc>
        <w:tc>
          <w:tcPr>
            <w:tcW w:w="3000" w:type="dxa"/>
            <w:vAlign w:val="top"/>
          </w:tcPr>
          <w:p>
            <w:pPr>
              <w:spacing w:after="40"/>
            </w:pPr>
            <w:r>
              <w:t xml:space="preserve">Viele Kunden gleichzeitig betroffen</w:t>
            </w:r>
          </w:p>
        </w:tc>
        <w:tc>
          <w:tcPr>
            <w:tcW w:w="3900" w:type="dxa"/>
            <w:vAlign w:val="top"/>
          </w:tcPr>
          <w:p>
            <w:pPr>
              <w:spacing w:after="40"/>
            </w:pPr>
            <w:r>
              <w:t xml:space="preserve">Canary, Batches, expand/contract, Backups.</w:t>
            </w:r>
          </w:p>
        </w:tc>
      </w:tr>
      <w:tr>
        <w:tc>
          <w:tcPr>
            <w:tcW w:w="2600" w:type="dxa"/>
            <w:vAlign w:val="top"/>
          </w:tcPr>
          <w:p>
            <w:pPr>
              <w:spacing w:after="40"/>
            </w:pPr>
            <w:r>
              <w:t xml:space="preserve">Unklare Datenschutzrollen</w:t>
            </w:r>
          </w:p>
        </w:tc>
        <w:tc>
          <w:tcPr>
            <w:tcW w:w="3000" w:type="dxa"/>
            <w:vAlign w:val="top"/>
          </w:tcPr>
          <w:p>
            <w:pPr>
              <w:spacing w:after="40"/>
            </w:pPr>
            <w:r>
              <w:t xml:space="preserve">Vertrags- und Compliance-Risiko</w:t>
            </w:r>
          </w:p>
        </w:tc>
        <w:tc>
          <w:tcPr>
            <w:tcW w:w="3900" w:type="dxa"/>
            <w:vAlign w:val="top"/>
          </w:tcPr>
          <w:p>
            <w:pPr>
              <w:spacing w:after="40"/>
            </w:pPr>
            <w:r>
              <w:t xml:space="preserve">Fachkundige Prüfung, AVV, TOM, transparente Prozesse.</w:t>
            </w:r>
          </w:p>
        </w:tc>
      </w:tr>
      <w:tr>
        <w:tc>
          <w:tcPr>
            <w:tcW w:w="2600" w:type="dxa"/>
            <w:vAlign w:val="top"/>
          </w:tcPr>
          <w:p>
            <w:pPr>
              <w:spacing w:after="40"/>
            </w:pPr>
            <w:r>
              <w:t xml:space="preserve">Saisonale Lastspitzen</w:t>
            </w:r>
          </w:p>
        </w:tc>
        <w:tc>
          <w:tcPr>
            <w:tcW w:w="3000" w:type="dxa"/>
            <w:vAlign w:val="top"/>
          </w:tcPr>
          <w:p>
            <w:pPr>
              <w:spacing w:after="40"/>
            </w:pPr>
            <w:r>
              <w:t xml:space="preserve">Langsame Erfassung</w:t>
            </w:r>
          </w:p>
        </w:tc>
        <w:tc>
          <w:tcPr>
            <w:tcW w:w="3900" w:type="dxa"/>
            <w:vAlign w:val="top"/>
          </w:tcPr>
          <w:p>
            <w:pPr>
              <w:spacing w:after="40"/>
            </w:pPr>
            <w:r>
              <w:t xml:space="preserve">Lasttests, Kapazitätsplanung, Queue, skalierbare App-Instanzen.</w:t>
            </w:r>
          </w:p>
        </w:tc>
      </w:tr>
      <w:tr>
        <w:tc>
          <w:tcPr>
            <w:tcW w:w="2600" w:type="dxa"/>
            <w:vAlign w:val="top"/>
          </w:tcPr>
          <w:p>
            <w:pPr>
              <w:spacing w:after="40"/>
            </w:pPr>
            <w:r>
              <w:t xml:space="preserve">Internetprobleme am Veranstaltungsort</w:t>
            </w:r>
          </w:p>
        </w:tc>
        <w:tc>
          <w:tcPr>
            <w:tcW w:w="3000" w:type="dxa"/>
            <w:vAlign w:val="top"/>
          </w:tcPr>
          <w:p>
            <w:pPr>
              <w:spacing w:after="40"/>
            </w:pPr>
            <w:r>
              <w:t xml:space="preserve">Cloud-App nicht erreichbar</w:t>
            </w:r>
          </w:p>
        </w:tc>
        <w:tc>
          <w:tcPr>
            <w:tcW w:w="3900" w:type="dxa"/>
            <w:vAlign w:val="top"/>
          </w:tcPr>
          <w:p>
            <w:pPr>
              <w:spacing w:after="40"/>
            </w:pPr>
            <w:r>
              <w:t xml:space="preserve">Verbindungscheck, Ersatzinternet, Vorabexporte, später Offline-Konzept.</w:t>
            </w:r>
          </w:p>
        </w:tc>
      </w:tr>
      <w:tr>
        <w:tc>
          <w:tcPr>
            <w:tcW w:w="2600" w:type="dxa"/>
            <w:vAlign w:val="top"/>
          </w:tcPr>
          <w:p>
            <w:pPr>
              <w:spacing w:after="40"/>
            </w:pPr>
            <w:r>
              <w:t xml:space="preserve">Zahlungsfehler sperrt laufenden Anlass</w:t>
            </w:r>
          </w:p>
        </w:tc>
        <w:tc>
          <w:tcPr>
            <w:tcW w:w="3000" w:type="dxa"/>
            <w:vAlign w:val="top"/>
          </w:tcPr>
          <w:p>
            <w:pPr>
              <w:spacing w:after="40"/>
            </w:pPr>
            <w:r>
              <w:t xml:space="preserve">Unverhältnismässiger Kundenschaden</w:t>
            </w:r>
          </w:p>
        </w:tc>
        <w:tc>
          <w:tcPr>
            <w:tcW w:w="3900" w:type="dxa"/>
            <w:vAlign w:val="top"/>
          </w:tcPr>
          <w:p>
            <w:pPr>
              <w:spacing w:after="40"/>
            </w:pPr>
            <w:r>
              <w:t xml:space="preserve">Kulanzfrist und auditierte Notfallfreigabe.</w:t>
            </w:r>
          </w:p>
        </w:tc>
      </w:tr>
      <w:tr>
        <w:tc>
          <w:tcPr>
            <w:tcW w:w="2600" w:type="dxa"/>
            <w:vAlign w:val="top"/>
          </w:tcPr>
          <w:p>
            <w:pPr>
              <w:spacing w:after="40"/>
            </w:pPr>
            <w:r>
              <w:t xml:space="preserve">Unzureichender Support</w:t>
            </w:r>
          </w:p>
        </w:tc>
        <w:tc>
          <w:tcPr>
            <w:tcW w:w="3000" w:type="dxa"/>
            <w:vAlign w:val="top"/>
          </w:tcPr>
          <w:p>
            <w:pPr>
              <w:spacing w:after="40"/>
            </w:pPr>
            <w:r>
              <w:t xml:space="preserve">Hohe Abwanderung trotz guter Software</w:t>
            </w:r>
          </w:p>
        </w:tc>
        <w:tc>
          <w:tcPr>
            <w:tcW w:w="3900" w:type="dxa"/>
            <w:vAlign w:val="top"/>
          </w:tcPr>
          <w:p>
            <w:pPr>
              <w:spacing w:after="40"/>
            </w:pPr>
            <w:r>
              <w:t xml:space="preserve">Onboarding, Wissensbasis, klare Supportzeiten und Eskalation.</w:t>
            </w:r>
          </w:p>
        </w:tc>
      </w:tr>
    </w:tbl>
    <w:p>
      <w:pPr>
        <w:spacing w:after="40"/>
      </w:pPr>
      <w:r>
        <w:t xml:space="preserve"/>
      </w:r>
    </w:p>
    <w:p>
      <w:pPr>
        <w:pStyle w:val="Heading1"/>
        <w:keepNext/>
      </w:pPr>
      <w:r>
        <w:t xml:space="preserve">28. Offene Entscheide</w:t>
      </w:r>
    </w:p>
    <w:p>
      <w:r>
        <w:t xml:space="preserve">Vor einer verbindlichen Umsetzung sollten mindestens folgende Fragen beantwortet werden:</w:t>
      </w:r>
    </w:p>
    <w:p>
      <w:pPr>
        <w:pStyle w:val="ListNumber"/>
        <w:ind w:left="360" w:hanging="300"/>
      </w:pPr>
      <w:r>
        <w:rPr>
          <w:b/>
          <w:color w:val="176B87"/>
        </w:rPr>
        <w:t xml:space="preserve">1  </w:t>
      </w:r>
      <w:r>
        <w:t xml:space="preserve">Wer sind die ersten Zielkunden: Vereine, Schulen, Gemeinden oder professionelle Veranstalter?</w:t>
      </w:r>
    </w:p>
    <w:p>
      <w:pPr>
        <w:pStyle w:val="ListNumber"/>
        <w:ind w:left="360" w:hanging="300"/>
      </w:pPr>
      <w:r>
        <w:rPr>
          <w:b/>
          <w:color w:val="176B87"/>
        </w:rPr>
        <w:t xml:space="preserve">2  </w:t>
      </w:r>
      <w:r>
        <w:t xml:space="preserve">Wie viele Kunden, Benutzer und Teilnehmende werden in den ersten zwei Jahren realistisch erwartet?</w:t>
      </w:r>
    </w:p>
    <w:p>
      <w:pPr>
        <w:pStyle w:val="ListNumber"/>
        <w:ind w:left="360" w:hanging="300"/>
      </w:pPr>
      <w:r>
        <w:rPr>
          <w:b/>
          <w:color w:val="176B87"/>
        </w:rPr>
        <w:t xml:space="preserve">3  </w:t>
      </w:r>
      <w:r>
        <w:t xml:space="preserve">Ist eine separate Datenbank pro Kunde vertraglich ausreichend oder wird eine eigene Serverinstanz versprochen?</w:t>
      </w:r>
    </w:p>
    <w:p>
      <w:pPr>
        <w:pStyle w:val="ListNumber"/>
        <w:ind w:left="360" w:hanging="300"/>
      </w:pPr>
      <w:r>
        <w:rPr>
          <w:b/>
          <w:color w:val="176B87"/>
        </w:rPr>
        <w:t xml:space="preserve">4  </w:t>
      </w:r>
      <w:r>
        <w:t xml:space="preserve">Welche Länder und Datenstandorte sollen unterstützt werden?</w:t>
      </w:r>
    </w:p>
    <w:p>
      <w:pPr>
        <w:pStyle w:val="ListNumber"/>
        <w:ind w:left="360" w:hanging="300"/>
      </w:pPr>
      <w:r>
        <w:rPr>
          <w:b/>
          <w:color w:val="176B87"/>
        </w:rPr>
        <w:t xml:space="preserve">5  </w:t>
      </w:r>
      <w:r>
        <w:t xml:space="preserve">Wer ist datenschutzrechtlich Verantwortlicher, und welche Vertragsunterlagen werden benötigt?</w:t>
      </w:r>
    </w:p>
    <w:p>
      <w:pPr>
        <w:pStyle w:val="ListNumber"/>
        <w:ind w:left="360" w:hanging="300"/>
      </w:pPr>
      <w:r>
        <w:rPr>
          <w:b/>
          <w:color w:val="176B87"/>
        </w:rPr>
        <w:t xml:space="preserve">6  </w:t>
      </w:r>
      <w:r>
        <w:t xml:space="preserve">Welche Rollen und Rechte sind im ersten Release tatsächlich notwendig?</w:t>
      </w:r>
    </w:p>
    <w:p>
      <w:pPr>
        <w:pStyle w:val="ListNumber"/>
        <w:ind w:left="360" w:hanging="300"/>
      </w:pPr>
      <w:r>
        <w:rPr>
          <w:b/>
          <w:color w:val="176B87"/>
        </w:rPr>
        <w:t xml:space="preserve">7  </w:t>
      </w:r>
      <w:r>
        <w:t xml:space="preserve">Sind öffentliche Ranglisten vorgesehen, und welche Felder dürfen erscheinen?</w:t>
      </w:r>
    </w:p>
    <w:p>
      <w:pPr>
        <w:pStyle w:val="ListNumber"/>
        <w:ind w:left="360" w:hanging="300"/>
      </w:pPr>
      <w:r>
        <w:rPr>
          <w:b/>
          <w:color w:val="176B87"/>
        </w:rPr>
        <w:t xml:space="preserve">8  </w:t>
      </w:r>
      <w:r>
        <w:t xml:space="preserve">Welche Aufbewahrungs- und Löschfristen gelten für Laufdaten, Exporte und Backups?</w:t>
      </w:r>
    </w:p>
    <w:p>
      <w:pPr>
        <w:pStyle w:val="ListNumber"/>
        <w:ind w:left="360" w:hanging="300"/>
      </w:pPr>
      <w:r>
        <w:rPr>
          <w:b/>
          <w:color w:val="176B87"/>
        </w:rPr>
        <w:t xml:space="preserve">9  </w:t>
      </w:r>
      <w:r>
        <w:t xml:space="preserve">Monatsabo, Jahresabo oder Gebühr pro Anlass?</w:t>
      </w:r>
    </w:p>
    <w:p>
      <w:pPr>
        <w:pStyle w:val="ListNumber"/>
        <w:ind w:left="360" w:hanging="300"/>
      </w:pPr>
      <w:r>
        <w:rPr>
          <w:b/>
          <w:color w:val="176B87"/>
        </w:rPr>
        <w:t xml:space="preserve">10  </w:t>
      </w:r>
      <w:r>
        <w:t xml:space="preserve">Welche Limiten unterscheiden Tarife?</w:t>
      </w:r>
    </w:p>
    <w:p>
      <w:pPr>
        <w:pStyle w:val="ListNumber"/>
        <w:ind w:left="360" w:hanging="300"/>
      </w:pPr>
      <w:r>
        <w:rPr>
          <w:b/>
          <w:color w:val="176B87"/>
        </w:rPr>
        <w:t xml:space="preserve">11  </w:t>
      </w:r>
      <w:r>
        <w:t xml:space="preserve">Welcher Zahlungsanbieter und welche Zahlungsarten werden benötigt?</w:t>
      </w:r>
    </w:p>
    <w:p>
      <w:pPr>
        <w:pStyle w:val="ListNumber"/>
        <w:ind w:left="360" w:hanging="300"/>
      </w:pPr>
      <w:r>
        <w:rPr>
          <w:b/>
          <w:color w:val="176B87"/>
        </w:rPr>
        <w:t xml:space="preserve">12  </w:t>
      </w:r>
      <w:r>
        <w:t xml:space="preserve">Wie lange dauert die Kulanzfrist bei Zahlungsfehlern?</w:t>
      </w:r>
    </w:p>
    <w:p>
      <w:pPr>
        <w:pStyle w:val="ListNumber"/>
        <w:ind w:left="360" w:hanging="300"/>
      </w:pPr>
      <w:r>
        <w:rPr>
          <w:b/>
          <w:color w:val="176B87"/>
        </w:rPr>
        <w:t xml:space="preserve">13  </w:t>
      </w:r>
      <w:r>
        <w:t xml:space="preserve">Welche Verfügbarkeit, Supportzeit, RPO und RTO werden vertraglich zugesagt?</w:t>
      </w:r>
    </w:p>
    <w:p>
      <w:pPr>
        <w:pStyle w:val="ListNumber"/>
        <w:ind w:left="360" w:hanging="300"/>
      </w:pPr>
      <w:r>
        <w:rPr>
          <w:b/>
          <w:color w:val="176B87"/>
        </w:rPr>
        <w:t xml:space="preserve">14  </w:t>
      </w:r>
      <w:r>
        <w:t xml:space="preserve">Wird Offlinefähigkeit für den Markterfolg benötigt oder genügt ein organisatorischer Notfallplan?</w:t>
      </w:r>
    </w:p>
    <w:p>
      <w:pPr>
        <w:pStyle w:val="ListNumber"/>
        <w:ind w:left="360" w:hanging="300"/>
      </w:pPr>
      <w:r>
        <w:rPr>
          <w:b/>
          <w:color w:val="176B87"/>
        </w:rPr>
        <w:t xml:space="preserve">15  </w:t>
      </w:r>
      <w:r>
        <w:t xml:space="preserve">Sollen bestehende Einzelinstallationen migriert werden?</w:t>
      </w:r>
    </w:p>
    <w:p>
      <w:pPr>
        <w:pStyle w:val="ListNumber"/>
        <w:ind w:left="360" w:hanging="300"/>
      </w:pPr>
      <w:r>
        <w:rPr>
          <w:b/>
          <w:color w:val="176B87"/>
        </w:rPr>
        <w:t xml:space="preserve">16  </w:t>
      </w:r>
      <w:r>
        <w:t xml:space="preserve">Sind kundeneigene Domains oder Enterprise-Instanzen schon zum Start nötig?</w:t>
      </w:r>
    </w:p>
    <w:p>
      <w:pPr>
        <w:pStyle w:val="Heading1"/>
        <w:keepNext/>
      </w:pPr>
      <w:r>
        <w:t xml:space="preserve">29. Abnahmekriterien für eine erste SaaS-Version</w:t>
      </w:r>
    </w:p>
    <w:p>
      <w:pPr>
        <w:pStyle w:val="ListBullet"/>
        <w:ind w:left="360" w:hanging="240"/>
      </w:pPr>
      <w:r>
        <w:t xml:space="preserve">• Ein neuer Kunde kann mit eindeutiger Subdomain angelegt werden.</w:t>
      </w:r>
    </w:p>
    <w:p>
      <w:pPr>
        <w:pStyle w:val="ListBullet"/>
        <w:ind w:left="360" w:hanging="240"/>
      </w:pPr>
      <w:r>
        <w:t xml:space="preserve">• Die Plattform provisioniert Kundendatenbank, Schema, Dateiablage und Owner wiederholbar.</w:t>
      </w:r>
    </w:p>
    <w:p>
      <w:pPr>
        <w:pStyle w:val="ListBullet"/>
        <w:ind w:left="360" w:hanging="240"/>
      </w:pPr>
      <w:r>
        <w:t xml:space="preserve">• Kunde A kann unter keinen getesteten Umständen Daten oder Dateien von Kunde B aufrufen.</w:t>
      </w:r>
    </w:p>
    <w:p>
      <w:pPr>
        <w:pStyle w:val="ListBullet"/>
        <w:ind w:left="360" w:hanging="240"/>
      </w:pPr>
      <w:r>
        <w:t xml:space="preserve">• Alle privaten Funktionen verlangen Anmeldung und passende Rolle.</w:t>
      </w:r>
    </w:p>
    <w:p>
      <w:pPr>
        <w:pStyle w:val="ListBullet"/>
        <w:ind w:left="360" w:hanging="240"/>
      </w:pPr>
      <w:r>
        <w:t xml:space="preserve">• Aboereignisse werden signiert, idempotent und nachvollziehbar verarbeitet.</w:t>
      </w:r>
    </w:p>
    <w:p>
      <w:pPr>
        <w:pStyle w:val="ListBullet"/>
        <w:ind w:left="360" w:hanging="240"/>
      </w:pPr>
      <w:r>
        <w:t xml:space="preserve">• Ein Zahlungsfehler führt gemäss beschlossener Kulanzregel zu einem konsistenten Zugriffszustand.</w:t>
      </w:r>
    </w:p>
    <w:p>
      <w:pPr>
        <w:pStyle w:val="ListBullet"/>
        <w:ind w:left="360" w:hanging="240"/>
      </w:pPr>
      <w:r>
        <w:t xml:space="preserve">• Ein einzelner Kunde kann gesichert und erfolgreich in eine Testumgebung wiederhergestellt werden.</w:t>
      </w:r>
    </w:p>
    <w:p>
      <w:pPr>
        <w:pStyle w:val="ListBullet"/>
        <w:ind w:left="360" w:hanging="240"/>
      </w:pPr>
      <w:r>
        <w:t xml:space="preserve">• Neue Datenbankmigrationen können über mehrere Kundendatenbanken kontrolliert ausgerollt werden.</w:t>
      </w:r>
    </w:p>
    <w:p>
      <w:pPr>
        <w:pStyle w:val="ListBullet"/>
        <w:ind w:left="360" w:hanging="240"/>
      </w:pPr>
      <w:r>
        <w:t xml:space="preserve">• Kündigung, Export, Aufbewahrung und Löschung funktionieren gemäss dokumentiertem Prozess.</w:t>
      </w:r>
    </w:p>
    <w:p>
      <w:pPr>
        <w:pStyle w:val="ListBullet"/>
        <w:ind w:left="360" w:hanging="240"/>
      </w:pPr>
      <w:r>
        <w:t xml:space="preserve">• Sicherheitsrelevante Aktionen und Supportzugriffe erscheinen im Auditlog.</w:t>
      </w:r>
    </w:p>
    <w:p>
      <w:pPr>
        <w:pStyle w:val="ListBullet"/>
        <w:ind w:left="360" w:hanging="240"/>
      </w:pPr>
      <w:r>
        <w:t xml:space="preserve">• Monitoring erkennt Ausfall, Jobfehler, Backupfehler und Zertifikatsprobleme.</w:t>
      </w:r>
    </w:p>
    <w:p>
      <w:pPr>
        <w:pStyle w:val="ListBullet"/>
        <w:ind w:left="360" w:hanging="240"/>
      </w:pPr>
      <w:r>
        <w:t xml:space="preserve">• Ein vollständiger Pilotanlass wurde mit realen Benutzern erfolgreich durchgeführt.</w:t>
      </w:r>
    </w:p>
    <w:p>
      <w:pPr>
        <w:pStyle w:val="ListBullet"/>
        <w:ind w:left="360" w:hanging="240"/>
      </w:pPr>
      <w:r>
        <w:t xml:space="preserve">• Datenschutz- und Vertragsunterlagen wurden fachkundig geprüft und veröffentlicht.</w:t>
      </w:r>
    </w:p>
    <w:p>
      <w:pPr>
        <w:pStyle w:val="Heading1"/>
        <w:keepNext/>
      </w:pPr>
      <w:r>
        <w:t xml:space="preserve">30. Gesamtempfehlung</w:t>
      </w:r>
    </w:p>
    <w:p>
      <w:r>
        <w:t xml:space="preserve">Die geplante Subdomain-pro-Kunde-Idee ist technisch und geschäftlich gut umsetzbar. Der entscheidende Punkt ist, Subdomain, Datenisolation und Softwareinstallation nicht unnötig gleichzusetzen. Eine eigene Subdomain vermittelt einen klaren Kundenbereich; eine eigene Datenbank schafft eine starke Datenbarriere; eine gemeinsame Codebasis hält Updates und Sicherheitskorrekturen beherrschbar.</w:t>
      </w:r>
    </w:p>
    <w:p>
      <w:r>
        <w:t xml:space="preserve">Empfohlen wird deshalb eine gemeinsame PHP-Applikation mit zentraler Plattformdatenbank, separater Kundendatenbank und separater Dateiablage je Mandant. Wildcard-DNS und ein Wildcard-TLS-Zertifikat ermöglichen sofort verfügbare Kundensubdomains. Benutzer, Mitgliedschaften, Tarife, Abos, Provisionierungsjobs und Audit werden zentral verwaltet; Laufdaten bleiben kundenspezifisch.</w:t>
      </w:r>
    </w:p>
    <w:p>
      <w:r>
        <w:t xml:space="preserve">Die Umsetzung sollte mit Authentifizierung, Mandantenkontext und manueller Provisionierung beginnen. Erst wenn Datenisolation, Veranstaltungseinsatz, Backup und Support im Pilot funktionieren, sollte der öffentliche Self-Service-Checkout aktiviert werden. Diese Reihenfolge reduziert das grösste Risiko: ein automatisiert verkauftes Produkt zu betreiben, dessen Mandanten- und Betriebsgrundlage noch nicht ausreichend erprobt ist.</w:t>
      </w:r>
    </w:p>
    <w:p>
      <w:pPr>
        <w:shd w:val="clear" w:color="auto" w:fill="E2F0D9"/>
        <w:ind w:left="160" w:right="160"/>
      </w:pPr>
      <w:r>
        <w:rPr>
          <w:b/>
          <w:color w:val="176B87"/>
        </w:rPr>
        <w:t xml:space="preserve">Empfohlener nächster Schritt: </w:t>
      </w:r>
      <w:r>
        <w:t xml:space="preserve">Die offenen Entscheide aus Kapitel 28 in einem Produktworkshop beantworten und daraus einen verbindlichen MVP-Scope sowie Architekturentscheid A-01 bis A-06 ableiten. Erst danach sollte eine technische Umsetzung freigegeben werden.</w:t>
      </w:r>
    </w:p>
    <w:p>
      <w:r>
        <w:br w:type="page"/>
      </w:r>
    </w:p>
    <w:p>
      <w:pPr>
        <w:pStyle w:val="Heading1"/>
        <w:keepNext/>
      </w:pPr>
      <w:r>
        <w:t xml:space="preserve">Anhang A – Vorgeschlagenes zentrales Datenmodell</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400"/>
        <w:gridCol w:w="7100"/>
      </w:tblGrid>
      <w:tr>
        <w:tc>
          <w:tcPr>
            <w:tcW w:w="2400" w:type="dxa"/>
            <w:shd w:val="clear" w:color="auto" w:fill="DDEBF7"/>
            <w:vAlign w:val="top"/>
          </w:tcPr>
          <w:p>
            <w:pPr>
              <w:spacing w:after="40"/>
            </w:pPr>
            <w:r>
              <w:rPr>
                <w:b/>
              </w:rPr>
              <w:t xml:space="preserve">Entität</w:t>
            </w:r>
          </w:p>
        </w:tc>
        <w:tc>
          <w:tcPr>
            <w:tcW w:w="7100" w:type="dxa"/>
            <w:shd w:val="clear" w:color="auto" w:fill="DDEBF7"/>
            <w:vAlign w:val="top"/>
          </w:tcPr>
          <w:p>
            <w:pPr>
              <w:spacing w:after="40"/>
            </w:pPr>
            <w:r>
              <w:rPr>
                <w:b/>
              </w:rPr>
              <w:t xml:space="preserve">Wichtige Felder und Zweck</w:t>
            </w:r>
          </w:p>
        </w:tc>
      </w:tr>
      <w:tr>
        <w:tc>
          <w:tcPr>
            <w:tcW w:w="2400" w:type="dxa"/>
            <w:vAlign w:val="top"/>
          </w:tcPr>
          <w:p>
            <w:pPr>
              <w:spacing w:after="40"/>
            </w:pPr>
            <w:r>
              <w:t xml:space="preserve">tenants</w:t>
            </w:r>
          </w:p>
        </w:tc>
        <w:tc>
          <w:tcPr>
            <w:tcW w:w="7100" w:type="dxa"/>
            <w:vAlign w:val="top"/>
          </w:tcPr>
          <w:p>
            <w:pPr>
              <w:spacing w:after="40"/>
            </w:pPr>
            <w:r>
              <w:t xml:space="preserve">UUID, Name, Slug, Status, Tarif, DB-Referenz, Storage-Präfix, Aufbewahrungs-/Löschdatum.</w:t>
            </w:r>
          </w:p>
        </w:tc>
      </w:tr>
      <w:tr>
        <w:tc>
          <w:tcPr>
            <w:tcW w:w="2400" w:type="dxa"/>
            <w:vAlign w:val="top"/>
          </w:tcPr>
          <w:p>
            <w:pPr>
              <w:spacing w:after="40"/>
            </w:pPr>
            <w:r>
              <w:t xml:space="preserve">domains</w:t>
            </w:r>
          </w:p>
        </w:tc>
        <w:tc>
          <w:tcPr>
            <w:tcW w:w="7100" w:type="dxa"/>
            <w:vAlign w:val="top"/>
          </w:tcPr>
          <w:p>
            <w:pPr>
              <w:spacing w:after="40"/>
            </w:pPr>
            <w:r>
              <w:t xml:space="preserve">Tenant-ID, Hostname, Typ, Verifikationsstatus, primär/Weiterleitung.</w:t>
            </w:r>
          </w:p>
        </w:tc>
      </w:tr>
      <w:tr>
        <w:tc>
          <w:tcPr>
            <w:tcW w:w="2400" w:type="dxa"/>
            <w:vAlign w:val="top"/>
          </w:tcPr>
          <w:p>
            <w:pPr>
              <w:spacing w:after="40"/>
            </w:pPr>
            <w:r>
              <w:t xml:space="preserve">users</w:t>
            </w:r>
          </w:p>
        </w:tc>
        <w:tc>
          <w:tcPr>
            <w:tcW w:w="7100" w:type="dxa"/>
            <w:vAlign w:val="top"/>
          </w:tcPr>
          <w:p>
            <w:pPr>
              <w:spacing w:after="40"/>
            </w:pPr>
            <w:r>
              <w:t xml:space="preserve">UUID, normalisierte E-Mail, Passwort-Hash, Verifikation, MFA-Status, Sperrstatus.</w:t>
            </w:r>
          </w:p>
        </w:tc>
      </w:tr>
      <w:tr>
        <w:tc>
          <w:tcPr>
            <w:tcW w:w="2400" w:type="dxa"/>
            <w:vAlign w:val="top"/>
          </w:tcPr>
          <w:p>
            <w:pPr>
              <w:spacing w:after="40"/>
            </w:pPr>
            <w:r>
              <w:t xml:space="preserve">memberships</w:t>
            </w:r>
          </w:p>
        </w:tc>
        <w:tc>
          <w:tcPr>
            <w:tcW w:w="7100" w:type="dxa"/>
            <w:vAlign w:val="top"/>
          </w:tcPr>
          <w:p>
            <w:pPr>
              <w:spacing w:after="40"/>
            </w:pPr>
            <w:r>
              <w:t xml:space="preserve">Tenant-ID, User-ID, Rolle, Status, Einladungs- und Aktivierungsdaten.</w:t>
            </w:r>
          </w:p>
        </w:tc>
      </w:tr>
      <w:tr>
        <w:tc>
          <w:tcPr>
            <w:tcW w:w="2400" w:type="dxa"/>
            <w:vAlign w:val="top"/>
          </w:tcPr>
          <w:p>
            <w:pPr>
              <w:spacing w:after="40"/>
            </w:pPr>
            <w:r>
              <w:t xml:space="preserve">plans</w:t>
            </w:r>
          </w:p>
        </w:tc>
        <w:tc>
          <w:tcPr>
            <w:tcW w:w="7100" w:type="dxa"/>
            <w:vAlign w:val="top"/>
          </w:tcPr>
          <w:p>
            <w:pPr>
              <w:spacing w:after="40"/>
            </w:pPr>
            <w:r>
              <w:t xml:space="preserve">Code, Name, Preisreferenzen, Feature- und Nutzungslimiten.</w:t>
            </w:r>
          </w:p>
        </w:tc>
      </w:tr>
      <w:tr>
        <w:tc>
          <w:tcPr>
            <w:tcW w:w="2400" w:type="dxa"/>
            <w:vAlign w:val="top"/>
          </w:tcPr>
          <w:p>
            <w:pPr>
              <w:spacing w:after="40"/>
            </w:pPr>
            <w:r>
              <w:t xml:space="preserve">subscriptions</w:t>
            </w:r>
          </w:p>
        </w:tc>
        <w:tc>
          <w:tcPr>
            <w:tcW w:w="7100" w:type="dxa"/>
            <w:vAlign w:val="top"/>
          </w:tcPr>
          <w:p>
            <w:pPr>
              <w:spacing w:after="40"/>
            </w:pPr>
            <w:r>
              <w:t xml:space="preserve">Tenant-ID, Provider, Customer-/Subscription-ID, lokaler Status, Periodenende, Kündigungsdaten.</w:t>
            </w:r>
          </w:p>
        </w:tc>
      </w:tr>
      <w:tr>
        <w:tc>
          <w:tcPr>
            <w:tcW w:w="2400" w:type="dxa"/>
            <w:vAlign w:val="top"/>
          </w:tcPr>
          <w:p>
            <w:pPr>
              <w:spacing w:after="40"/>
            </w:pPr>
            <w:r>
              <w:t xml:space="preserve">webhook_events</w:t>
            </w:r>
          </w:p>
        </w:tc>
        <w:tc>
          <w:tcPr>
            <w:tcW w:w="7100" w:type="dxa"/>
            <w:vAlign w:val="top"/>
          </w:tcPr>
          <w:p>
            <w:pPr>
              <w:spacing w:after="40"/>
            </w:pPr>
            <w:r>
              <w:t xml:space="preserve">Provider-Ereignis-ID, Typ, Empfang, Verarbeitung, Versuch, bereinigter Fehler.</w:t>
            </w:r>
          </w:p>
        </w:tc>
      </w:tr>
      <w:tr>
        <w:tc>
          <w:tcPr>
            <w:tcW w:w="2400" w:type="dxa"/>
            <w:vAlign w:val="top"/>
          </w:tcPr>
          <w:p>
            <w:pPr>
              <w:spacing w:after="40"/>
            </w:pPr>
            <w:r>
              <w:t xml:space="preserve">provisioning_jobs</w:t>
            </w:r>
          </w:p>
        </w:tc>
        <w:tc>
          <w:tcPr>
            <w:tcW w:w="7100" w:type="dxa"/>
            <w:vAlign w:val="top"/>
          </w:tcPr>
          <w:p>
            <w:pPr>
              <w:spacing w:after="40"/>
            </w:pPr>
            <w:r>
              <w:t xml:space="preserve">Tenant-ID, Idempotenzschlüssel, aktueller Schritt, Status, Versuche, Fehler.</w:t>
            </w:r>
          </w:p>
        </w:tc>
      </w:tr>
      <w:tr>
        <w:tc>
          <w:tcPr>
            <w:tcW w:w="2400" w:type="dxa"/>
            <w:vAlign w:val="top"/>
          </w:tcPr>
          <w:p>
            <w:pPr>
              <w:spacing w:after="40"/>
            </w:pPr>
            <w:r>
              <w:t xml:space="preserve">usage_counters</w:t>
            </w:r>
          </w:p>
        </w:tc>
        <w:tc>
          <w:tcPr>
            <w:tcW w:w="7100" w:type="dxa"/>
            <w:vAlign w:val="top"/>
          </w:tcPr>
          <w:p>
            <w:pPr>
              <w:spacing w:after="40"/>
            </w:pPr>
            <w:r>
              <w:t xml:space="preserve">Tenant-ID, Periode, Messgrösse, Wert, Aktualisierungszeit.</w:t>
            </w:r>
          </w:p>
        </w:tc>
      </w:tr>
      <w:tr>
        <w:tc>
          <w:tcPr>
            <w:tcW w:w="2400" w:type="dxa"/>
            <w:vAlign w:val="top"/>
          </w:tcPr>
          <w:p>
            <w:pPr>
              <w:spacing w:after="40"/>
            </w:pPr>
            <w:r>
              <w:t xml:space="preserve">audit_logs</w:t>
            </w:r>
          </w:p>
        </w:tc>
        <w:tc>
          <w:tcPr>
            <w:tcW w:w="7100" w:type="dxa"/>
            <w:vAlign w:val="top"/>
          </w:tcPr>
          <w:p>
            <w:pPr>
              <w:spacing w:after="40"/>
            </w:pPr>
            <w:r>
              <w:t xml:space="preserve">Tenant-ID, Akteur, Aktion, Ziel, Zeitpunkt, IP/Request-ID, minimierte Metadaten.</w:t>
            </w:r>
          </w:p>
        </w:tc>
      </w:tr>
      <w:tr>
        <w:tc>
          <w:tcPr>
            <w:tcW w:w="2400" w:type="dxa"/>
            <w:vAlign w:val="top"/>
          </w:tcPr>
          <w:p>
            <w:pPr>
              <w:spacing w:after="40"/>
            </w:pPr>
            <w:r>
              <w:t xml:space="preserve">support_overrides</w:t>
            </w:r>
          </w:p>
        </w:tc>
        <w:tc>
          <w:tcPr>
            <w:tcW w:w="7100" w:type="dxa"/>
            <w:vAlign w:val="top"/>
          </w:tcPr>
          <w:p>
            <w:pPr>
              <w:spacing w:after="40"/>
            </w:pPr>
            <w:r>
              <w:t xml:space="preserve">Tenant-ID, Grund, Gültigkeit, Ersteller, Genehmigung und Aufhebung.</w:t>
            </w:r>
          </w:p>
        </w:tc>
      </w:tr>
    </w:tbl>
    <w:p>
      <w:pPr>
        <w:spacing w:after="40"/>
      </w:pPr>
      <w:r>
        <w:t xml:space="preserve"/>
      </w:r>
    </w:p>
    <w:p>
      <w:r>
        <w:t xml:space="preserve">Interne Primärschlüssel sollten nicht aus der Subdomain abgeleitet werden. Extern sichtbare Identifikatoren sind nicht erratbar zu gestalten, wo daraus ein Sicherheitsvorteil entsteht. Eindeutige Constraints werden unter anderem auf Domainname, normalisierte Benutzer-E-Mail, Provider-Ereignis-ID und Provisionierungs-Idempotenzschlüssel gesetzt.</w:t>
      </w:r>
    </w:p>
    <w:p>
      <w:pPr>
        <w:pStyle w:val="Heading1"/>
        <w:keepNext/>
      </w:pPr>
      <w:r>
        <w:t xml:space="preserve">Anhang B – Statusmodelle</w:t>
      </w:r>
    </w:p>
    <w:p>
      <w:pPr>
        <w:pStyle w:val="Heading2"/>
        <w:keepNext/>
      </w:pPr>
      <w:r>
        <w:t xml:space="preserve">B.1 Mandantenstatus</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200"/>
        <w:gridCol w:w="3500"/>
        <w:gridCol w:w="3800"/>
      </w:tblGrid>
      <w:tr>
        <w:tc>
          <w:tcPr>
            <w:tcW w:w="2200" w:type="dxa"/>
            <w:shd w:val="clear" w:color="auto" w:fill="DDEBF7"/>
            <w:vAlign w:val="top"/>
          </w:tcPr>
          <w:p>
            <w:pPr>
              <w:spacing w:after="40"/>
            </w:pPr>
            <w:r>
              <w:rPr>
                <w:b/>
              </w:rPr>
              <w:t xml:space="preserve">Status</w:t>
            </w:r>
          </w:p>
        </w:tc>
        <w:tc>
          <w:tcPr>
            <w:tcW w:w="3500" w:type="dxa"/>
            <w:shd w:val="clear" w:color="auto" w:fill="DDEBF7"/>
            <w:vAlign w:val="top"/>
          </w:tcPr>
          <w:p>
            <w:pPr>
              <w:spacing w:after="40"/>
            </w:pPr>
            <w:r>
              <w:rPr>
                <w:b/>
              </w:rPr>
              <w:t xml:space="preserve">Eintritt</w:t>
            </w:r>
          </w:p>
        </w:tc>
        <w:tc>
          <w:tcPr>
            <w:tcW w:w="3800" w:type="dxa"/>
            <w:shd w:val="clear" w:color="auto" w:fill="DDEBF7"/>
            <w:vAlign w:val="top"/>
          </w:tcPr>
          <w:p>
            <w:pPr>
              <w:spacing w:after="40"/>
            </w:pPr>
            <w:r>
              <w:rPr>
                <w:b/>
              </w:rPr>
              <w:t xml:space="preserve">Erlaubte nächste Zustände</w:t>
            </w:r>
          </w:p>
        </w:tc>
      </w:tr>
      <w:tr>
        <w:tc>
          <w:tcPr>
            <w:tcW w:w="2200" w:type="dxa"/>
            <w:vAlign w:val="top"/>
          </w:tcPr>
          <w:p>
            <w:pPr>
              <w:spacing w:after="40"/>
            </w:pPr>
            <w:r>
              <w:t xml:space="preserve">draft</w:t>
            </w:r>
          </w:p>
        </w:tc>
        <w:tc>
          <w:tcPr>
            <w:tcW w:w="3500" w:type="dxa"/>
            <w:vAlign w:val="top"/>
          </w:tcPr>
          <w:p>
            <w:pPr>
              <w:spacing w:after="40"/>
            </w:pPr>
            <w:r>
              <w:t xml:space="preserve">Registrierung begonnen</w:t>
            </w:r>
          </w:p>
        </w:tc>
        <w:tc>
          <w:tcPr>
            <w:tcW w:w="3800" w:type="dxa"/>
            <w:vAlign w:val="top"/>
          </w:tcPr>
          <w:p>
            <w:pPr>
              <w:spacing w:after="40"/>
            </w:pPr>
            <w:r>
              <w:t xml:space="preserve">pending_payment, deleted</w:t>
            </w:r>
          </w:p>
        </w:tc>
      </w:tr>
      <w:tr>
        <w:tc>
          <w:tcPr>
            <w:tcW w:w="2200" w:type="dxa"/>
            <w:vAlign w:val="top"/>
          </w:tcPr>
          <w:p>
            <w:pPr>
              <w:spacing w:after="40"/>
            </w:pPr>
            <w:r>
              <w:t xml:space="preserve">pending_payment</w:t>
            </w:r>
          </w:p>
        </w:tc>
        <w:tc>
          <w:tcPr>
            <w:tcW w:w="3500" w:type="dxa"/>
            <w:vAlign w:val="top"/>
          </w:tcPr>
          <w:p>
            <w:pPr>
              <w:spacing w:after="40"/>
            </w:pPr>
            <w:r>
              <w:t xml:space="preserve">Checkout offen</w:t>
            </w:r>
          </w:p>
        </w:tc>
        <w:tc>
          <w:tcPr>
            <w:tcW w:w="3800" w:type="dxa"/>
            <w:vAlign w:val="top"/>
          </w:tcPr>
          <w:p>
            <w:pPr>
              <w:spacing w:after="40"/>
            </w:pPr>
            <w:r>
              <w:t xml:space="preserve">provisioning, draft, deleted</w:t>
            </w:r>
          </w:p>
        </w:tc>
      </w:tr>
      <w:tr>
        <w:tc>
          <w:tcPr>
            <w:tcW w:w="2200" w:type="dxa"/>
            <w:vAlign w:val="top"/>
          </w:tcPr>
          <w:p>
            <w:pPr>
              <w:spacing w:after="40"/>
            </w:pPr>
            <w:r>
              <w:t xml:space="preserve">provisioning</w:t>
            </w:r>
          </w:p>
        </w:tc>
        <w:tc>
          <w:tcPr>
            <w:tcW w:w="3500" w:type="dxa"/>
            <w:vAlign w:val="top"/>
          </w:tcPr>
          <w:p>
            <w:pPr>
              <w:spacing w:after="40"/>
            </w:pPr>
            <w:r>
              <w:t xml:space="preserve">Zahlung bestätigt</w:t>
            </w:r>
          </w:p>
        </w:tc>
        <w:tc>
          <w:tcPr>
            <w:tcW w:w="3800" w:type="dxa"/>
            <w:vAlign w:val="top"/>
          </w:tcPr>
          <w:p>
            <w:pPr>
              <w:spacing w:after="40"/>
            </w:pPr>
            <w:r>
              <w:t xml:space="preserve">active, provision_failed</w:t>
            </w:r>
          </w:p>
        </w:tc>
      </w:tr>
      <w:tr>
        <w:tc>
          <w:tcPr>
            <w:tcW w:w="2200" w:type="dxa"/>
            <w:vAlign w:val="top"/>
          </w:tcPr>
          <w:p>
            <w:pPr>
              <w:spacing w:after="40"/>
            </w:pPr>
            <w:r>
              <w:t xml:space="preserve">provision_failed</w:t>
            </w:r>
          </w:p>
        </w:tc>
        <w:tc>
          <w:tcPr>
            <w:tcW w:w="3500" w:type="dxa"/>
            <w:vAlign w:val="top"/>
          </w:tcPr>
          <w:p>
            <w:pPr>
              <w:spacing w:after="40"/>
            </w:pPr>
            <w:r>
              <w:t xml:space="preserve">Technischer Fehler</w:t>
            </w:r>
          </w:p>
        </w:tc>
        <w:tc>
          <w:tcPr>
            <w:tcW w:w="3800" w:type="dxa"/>
            <w:vAlign w:val="top"/>
          </w:tcPr>
          <w:p>
            <w:pPr>
              <w:spacing w:after="40"/>
            </w:pPr>
            <w:r>
              <w:t xml:space="preserve">provisioning, offboarding</w:t>
            </w:r>
          </w:p>
        </w:tc>
      </w:tr>
      <w:tr>
        <w:tc>
          <w:tcPr>
            <w:tcW w:w="2200" w:type="dxa"/>
            <w:vAlign w:val="top"/>
          </w:tcPr>
          <w:p>
            <w:pPr>
              <w:spacing w:after="40"/>
            </w:pPr>
            <w:r>
              <w:t xml:space="preserve">active</w:t>
            </w:r>
          </w:p>
        </w:tc>
        <w:tc>
          <w:tcPr>
            <w:tcW w:w="3500" w:type="dxa"/>
            <w:vAlign w:val="top"/>
          </w:tcPr>
          <w:p>
            <w:pPr>
              <w:spacing w:after="40"/>
            </w:pPr>
            <w:r>
              <w:t xml:space="preserve">Bereitstellung und Abo gültig</w:t>
            </w:r>
          </w:p>
        </w:tc>
        <w:tc>
          <w:tcPr>
            <w:tcW w:w="3800" w:type="dxa"/>
            <w:vAlign w:val="top"/>
          </w:tcPr>
          <w:p>
            <w:pPr>
              <w:spacing w:after="40"/>
            </w:pPr>
            <w:r>
              <w:t xml:space="preserve">past_due, suspended, offboarding</w:t>
            </w:r>
          </w:p>
        </w:tc>
      </w:tr>
      <w:tr>
        <w:tc>
          <w:tcPr>
            <w:tcW w:w="2200" w:type="dxa"/>
            <w:vAlign w:val="top"/>
          </w:tcPr>
          <w:p>
            <w:pPr>
              <w:spacing w:after="40"/>
            </w:pPr>
            <w:r>
              <w:t xml:space="preserve">past_due</w:t>
            </w:r>
          </w:p>
        </w:tc>
        <w:tc>
          <w:tcPr>
            <w:tcW w:w="3500" w:type="dxa"/>
            <w:vAlign w:val="top"/>
          </w:tcPr>
          <w:p>
            <w:pPr>
              <w:spacing w:after="40"/>
            </w:pPr>
            <w:r>
              <w:t xml:space="preserve">Zahlungsproblem</w:t>
            </w:r>
          </w:p>
        </w:tc>
        <w:tc>
          <w:tcPr>
            <w:tcW w:w="3800" w:type="dxa"/>
            <w:vAlign w:val="top"/>
          </w:tcPr>
          <w:p>
            <w:pPr>
              <w:spacing w:after="40"/>
            </w:pPr>
            <w:r>
              <w:t xml:space="preserve">active, restricted, offboarding</w:t>
            </w:r>
          </w:p>
        </w:tc>
      </w:tr>
      <w:tr>
        <w:tc>
          <w:tcPr>
            <w:tcW w:w="2200" w:type="dxa"/>
            <w:vAlign w:val="top"/>
          </w:tcPr>
          <w:p>
            <w:pPr>
              <w:spacing w:after="40"/>
            </w:pPr>
            <w:r>
              <w:t xml:space="preserve">restricted</w:t>
            </w:r>
          </w:p>
        </w:tc>
        <w:tc>
          <w:tcPr>
            <w:tcW w:w="3500" w:type="dxa"/>
            <w:vAlign w:val="top"/>
          </w:tcPr>
          <w:p>
            <w:pPr>
              <w:spacing w:after="40"/>
            </w:pPr>
            <w:r>
              <w:t xml:space="preserve">Kulanz abgelaufen</w:t>
            </w:r>
          </w:p>
        </w:tc>
        <w:tc>
          <w:tcPr>
            <w:tcW w:w="3800" w:type="dxa"/>
            <w:vAlign w:val="top"/>
          </w:tcPr>
          <w:p>
            <w:pPr>
              <w:spacing w:after="40"/>
            </w:pPr>
            <w:r>
              <w:t xml:space="preserve">active, offboarding</w:t>
            </w:r>
          </w:p>
        </w:tc>
      </w:tr>
      <w:tr>
        <w:tc>
          <w:tcPr>
            <w:tcW w:w="2200" w:type="dxa"/>
            <w:vAlign w:val="top"/>
          </w:tcPr>
          <w:p>
            <w:pPr>
              <w:spacing w:after="40"/>
            </w:pPr>
            <w:r>
              <w:t xml:space="preserve">suspended</w:t>
            </w:r>
          </w:p>
        </w:tc>
        <w:tc>
          <w:tcPr>
            <w:tcW w:w="3500" w:type="dxa"/>
            <w:vAlign w:val="top"/>
          </w:tcPr>
          <w:p>
            <w:pPr>
              <w:spacing w:after="40"/>
            </w:pPr>
            <w:r>
              <w:t xml:space="preserve">Administrative/Sicherheitssperre</w:t>
            </w:r>
          </w:p>
        </w:tc>
        <w:tc>
          <w:tcPr>
            <w:tcW w:w="3800" w:type="dxa"/>
            <w:vAlign w:val="top"/>
          </w:tcPr>
          <w:p>
            <w:pPr>
              <w:spacing w:after="40"/>
            </w:pPr>
            <w:r>
              <w:t xml:space="preserve">active, offboarding</w:t>
            </w:r>
          </w:p>
        </w:tc>
      </w:tr>
      <w:tr>
        <w:tc>
          <w:tcPr>
            <w:tcW w:w="2200" w:type="dxa"/>
            <w:vAlign w:val="top"/>
          </w:tcPr>
          <w:p>
            <w:pPr>
              <w:spacing w:after="40"/>
            </w:pPr>
            <w:r>
              <w:t xml:space="preserve">offboarding</w:t>
            </w:r>
          </w:p>
        </w:tc>
        <w:tc>
          <w:tcPr>
            <w:tcW w:w="3500" w:type="dxa"/>
            <w:vAlign w:val="top"/>
          </w:tcPr>
          <w:p>
            <w:pPr>
              <w:spacing w:after="40"/>
            </w:pPr>
            <w:r>
              <w:t xml:space="preserve">Abo beendet/Löschung angefordert</w:t>
            </w:r>
          </w:p>
        </w:tc>
        <w:tc>
          <w:tcPr>
            <w:tcW w:w="3800" w:type="dxa"/>
            <w:vAlign w:val="top"/>
          </w:tcPr>
          <w:p>
            <w:pPr>
              <w:spacing w:after="40"/>
            </w:pPr>
            <w:r>
              <w:t xml:space="preserve">retained, active</w:t>
            </w:r>
          </w:p>
        </w:tc>
      </w:tr>
      <w:tr>
        <w:tc>
          <w:tcPr>
            <w:tcW w:w="2200" w:type="dxa"/>
            <w:vAlign w:val="top"/>
          </w:tcPr>
          <w:p>
            <w:pPr>
              <w:spacing w:after="40"/>
            </w:pPr>
            <w:r>
              <w:t xml:space="preserve">retained</w:t>
            </w:r>
          </w:p>
        </w:tc>
        <w:tc>
          <w:tcPr>
            <w:tcW w:w="3500" w:type="dxa"/>
            <w:vAlign w:val="top"/>
          </w:tcPr>
          <w:p>
            <w:pPr>
              <w:spacing w:after="40"/>
            </w:pPr>
            <w:r>
              <w:t xml:space="preserve">Aufbewahrungsphase</w:t>
            </w:r>
          </w:p>
        </w:tc>
        <w:tc>
          <w:tcPr>
            <w:tcW w:w="3800" w:type="dxa"/>
            <w:vAlign w:val="top"/>
          </w:tcPr>
          <w:p>
            <w:pPr>
              <w:spacing w:after="40"/>
            </w:pPr>
            <w:r>
              <w:t xml:space="preserve">active, deleted</w:t>
            </w:r>
          </w:p>
        </w:tc>
      </w:tr>
      <w:tr>
        <w:tc>
          <w:tcPr>
            <w:tcW w:w="2200" w:type="dxa"/>
            <w:vAlign w:val="top"/>
          </w:tcPr>
          <w:p>
            <w:pPr>
              <w:spacing w:after="40"/>
            </w:pPr>
            <w:r>
              <w:t xml:space="preserve">deleted</w:t>
            </w:r>
          </w:p>
        </w:tc>
        <w:tc>
          <w:tcPr>
            <w:tcW w:w="3500" w:type="dxa"/>
            <w:vAlign w:val="top"/>
          </w:tcPr>
          <w:p>
            <w:pPr>
              <w:spacing w:after="40"/>
            </w:pPr>
            <w:r>
              <w:t xml:space="preserve">Aktive Kundendaten gelöscht</w:t>
            </w:r>
          </w:p>
        </w:tc>
        <w:tc>
          <w:tcPr>
            <w:tcW w:w="3800" w:type="dxa"/>
            <w:vAlign w:val="top"/>
          </w:tcPr>
          <w:p>
            <w:pPr>
              <w:spacing w:after="40"/>
            </w:pPr>
            <w:r>
              <w:t xml:space="preserve">keine automatische Reaktivierung</w:t>
            </w:r>
          </w:p>
        </w:tc>
      </w:tr>
    </w:tbl>
    <w:p>
      <w:pPr>
        <w:spacing w:after="40"/>
      </w:pPr>
      <w:r>
        <w:t xml:space="preserve"/>
      </w:r>
    </w:p>
    <w:p>
      <w:pPr>
        <w:pStyle w:val="Heading2"/>
        <w:keepNext/>
      </w:pPr>
      <w:r>
        <w:t xml:space="preserve">B.2 Provisionierungsauftrag</w:t>
      </w:r>
    </w:p>
    <w:p>
      <w:pPr>
        <w:pStyle w:val="Code"/>
        <w:spacing w:after="0"/>
        <w:shd w:val="clear" w:color="auto" w:fill="F3F5F7"/>
        <w:ind w:left="160" w:right="160"/>
      </w:pPr>
      <w:r>
        <w:rPr>
          <w:rFonts w:ascii="Consolas" w:hAnsi="Consolas"/>
        </w:rPr>
        <w:t xml:space="preserve">queued → running → succeeded</w:t>
      </w:r>
    </w:p>
    <w:p>
      <w:pPr>
        <w:pStyle w:val="Code"/>
        <w:spacing w:after="0"/>
        <w:shd w:val="clear" w:color="auto" w:fill="F3F5F7"/>
        <w:ind w:left="160" w:right="160"/>
      </w:pPr>
      <w:r>
        <w:rPr>
          <w:rFonts w:ascii="Consolas" w:hAnsi="Consolas"/>
        </w:rPr>
        <w:t xml:space="preserve">            │</w:t>
      </w:r>
    </w:p>
    <w:p>
      <w:pPr>
        <w:pStyle w:val="Code"/>
        <w:spacing w:after="0"/>
        <w:shd w:val="clear" w:color="auto" w:fill="F3F5F7"/>
        <w:ind w:left="160" w:right="160"/>
      </w:pPr>
      <w:r>
        <w:rPr>
          <w:rFonts w:ascii="Consolas" w:hAnsi="Consolas"/>
        </w:rPr>
        <w:t xml:space="preserve">            ├→ retry_wait → running</w:t>
      </w:r>
    </w:p>
    <w:p>
      <w:pPr>
        <w:pStyle w:val="Code"/>
        <w:spacing w:after="0"/>
        <w:shd w:val="clear" w:color="auto" w:fill="F3F5F7"/>
        <w:ind w:left="160" w:right="160"/>
      </w:pPr>
      <w:r>
        <w:rPr>
          <w:rFonts w:ascii="Consolas" w:hAnsi="Consolas"/>
        </w:rPr>
        <w:t xml:space="preserve">            └→ failed → manual_review → running / canceled</w:t>
      </w:r>
    </w:p>
    <w:p>
      <w:pPr>
        <w:spacing w:after="60"/>
      </w:pPr>
      <w:r>
        <w:t xml:space="preserve"/>
      </w:r>
    </w:p>
    <w:p>
      <w:pPr>
        <w:pStyle w:val="Heading2"/>
        <w:keepNext/>
      </w:pPr>
      <w:r>
        <w:t xml:space="preserve">B.3 Abonnement</w:t>
      </w:r>
    </w:p>
    <w:p>
      <w:r>
        <w:t xml:space="preserve">Die lokale Abostabelle spiegelt nur den für den Zugriff relevanten Zustand des Providers. Providerstatus und lokaler Berechtigungsstatus dürfen nicht blind gleichgesetzt werden. Beispielsweise kann past_due während einer Kulanzfrist lokal weiterhin Schreibzugriff erlauben.</w:t>
      </w:r>
    </w:p>
    <w:p>
      <w:pPr>
        <w:pStyle w:val="Heading1"/>
        <w:keepNext/>
      </w:pPr>
      <w:r>
        <w:t xml:space="preserve">Anhang C – Begriffe</w:t>
      </w:r>
    </w:p>
    <w:tbl>
      <w:tblPr>
        <w:tblW w:w="9500" w:type="dxa"/>
        <w:tblLayout w:type="fixed"/>
        <w:tblCellMar>
          <w:top w:w="80" w:type="dxa"/>
          <w:left w:w="100" w:type="dxa"/>
          <w:bottom w:w="80" w:type="dxa"/>
          <w:right w:w="100" w:type="dxa"/>
        </w:tblCellMar>
        <w:tblBorders>
          <w:top w:val="single" w:sz="4" w:space="0" w:color="A6B8C5"/>
          <w:left w:val="single" w:sz="4" w:space="0" w:color="A6B8C5"/>
          <w:bottom w:val="single" w:sz="4" w:space="0" w:color="A6B8C5"/>
          <w:right w:val="single" w:sz="4" w:space="0" w:color="A6B8C5"/>
          <w:insideH w:val="single" w:sz="4" w:space="0" w:color="A6B8C5"/>
          <w:insideV w:val="single" w:sz="4" w:space="0" w:color="A6B8C5"/>
        </w:tblBorders>
      </w:tblPr>
      <w:tblGrid>
        <w:gridCol w:w="2400"/>
        <w:gridCol w:w="7100"/>
      </w:tblGrid>
      <w:tr>
        <w:tc>
          <w:tcPr>
            <w:tcW w:w="2400" w:type="dxa"/>
            <w:shd w:val="clear" w:color="auto" w:fill="DDEBF7"/>
            <w:vAlign w:val="top"/>
          </w:tcPr>
          <w:p>
            <w:pPr>
              <w:spacing w:after="40"/>
            </w:pPr>
            <w:r>
              <w:rPr>
                <w:b/>
              </w:rPr>
              <w:t xml:space="preserve">Begriff</w:t>
            </w:r>
          </w:p>
        </w:tc>
        <w:tc>
          <w:tcPr>
            <w:tcW w:w="7100" w:type="dxa"/>
            <w:shd w:val="clear" w:color="auto" w:fill="DDEBF7"/>
            <w:vAlign w:val="top"/>
          </w:tcPr>
          <w:p>
            <w:pPr>
              <w:spacing w:after="40"/>
            </w:pPr>
            <w:r>
              <w:rPr>
                <w:b/>
              </w:rPr>
              <w:t xml:space="preserve">Definition</w:t>
            </w:r>
          </w:p>
        </w:tc>
      </w:tr>
      <w:tr>
        <w:tc>
          <w:tcPr>
            <w:tcW w:w="2400" w:type="dxa"/>
            <w:vAlign w:val="top"/>
          </w:tcPr>
          <w:p>
            <w:pPr>
              <w:spacing w:after="40"/>
            </w:pPr>
            <w:r>
              <w:t xml:space="preserve">Mandant/Tenant</w:t>
            </w:r>
          </w:p>
        </w:tc>
        <w:tc>
          <w:tcPr>
            <w:tcW w:w="7100" w:type="dxa"/>
            <w:vAlign w:val="top"/>
          </w:tcPr>
          <w:p>
            <w:pPr>
              <w:spacing w:after="40"/>
            </w:pPr>
            <w:r>
              <w:t xml:space="preserve">Eine organisatorisch und technisch abgegrenzte Kundenumgebung.</w:t>
            </w:r>
          </w:p>
        </w:tc>
      </w:tr>
      <w:tr>
        <w:tc>
          <w:tcPr>
            <w:tcW w:w="2400" w:type="dxa"/>
            <w:vAlign w:val="top"/>
          </w:tcPr>
          <w:p>
            <w:pPr>
              <w:spacing w:after="40"/>
            </w:pPr>
            <w:r>
              <w:t xml:space="preserve">Control Plane</w:t>
            </w:r>
          </w:p>
        </w:tc>
        <w:tc>
          <w:tcPr>
            <w:tcW w:w="7100" w:type="dxa"/>
            <w:vAlign w:val="top"/>
          </w:tcPr>
          <w:p>
            <w:pPr>
              <w:spacing w:after="40"/>
            </w:pPr>
            <w:r>
              <w:t xml:space="preserve">Zentrale Verwaltung von Kunden, Benutzern, Domains, Abos und Betriebsaufträgen.</w:t>
            </w:r>
          </w:p>
        </w:tc>
      </w:tr>
      <w:tr>
        <w:tc>
          <w:tcPr>
            <w:tcW w:w="2400" w:type="dxa"/>
            <w:vAlign w:val="top"/>
          </w:tcPr>
          <w:p>
            <w:pPr>
              <w:spacing w:after="40"/>
            </w:pPr>
            <w:r>
              <w:t xml:space="preserve">Data Plane</w:t>
            </w:r>
          </w:p>
        </w:tc>
        <w:tc>
          <w:tcPr>
            <w:tcW w:w="7100" w:type="dxa"/>
            <w:vAlign w:val="top"/>
          </w:tcPr>
          <w:p>
            <w:pPr>
              <w:spacing w:after="40"/>
            </w:pPr>
            <w:r>
              <w:t xml:space="preserve">Kundenspezifische fachliche Laufdaten und Dateien.</w:t>
            </w:r>
          </w:p>
        </w:tc>
      </w:tr>
      <w:tr>
        <w:tc>
          <w:tcPr>
            <w:tcW w:w="2400" w:type="dxa"/>
            <w:vAlign w:val="top"/>
          </w:tcPr>
          <w:p>
            <w:pPr>
              <w:spacing w:after="40"/>
            </w:pPr>
            <w:r>
              <w:t xml:space="preserve">Provisionierung</w:t>
            </w:r>
          </w:p>
        </w:tc>
        <w:tc>
          <w:tcPr>
            <w:tcW w:w="7100" w:type="dxa"/>
            <w:vAlign w:val="top"/>
          </w:tcPr>
          <w:p>
            <w:pPr>
              <w:spacing w:after="40"/>
            </w:pPr>
            <w:r>
              <w:t xml:space="preserve">Automatisierte Erstellung und Aktivierung einer Kundenumgebung.</w:t>
            </w:r>
          </w:p>
        </w:tc>
      </w:tr>
      <w:tr>
        <w:tc>
          <w:tcPr>
            <w:tcW w:w="2400" w:type="dxa"/>
            <w:vAlign w:val="top"/>
          </w:tcPr>
          <w:p>
            <w:pPr>
              <w:spacing w:after="40"/>
            </w:pPr>
            <w:r>
              <w:t xml:space="preserve">Webhook</w:t>
            </w:r>
          </w:p>
        </w:tc>
        <w:tc>
          <w:tcPr>
            <w:tcW w:w="7100" w:type="dxa"/>
            <w:vAlign w:val="top"/>
          </w:tcPr>
          <w:p>
            <w:pPr>
              <w:spacing w:after="40"/>
            </w:pPr>
            <w:r>
              <w:t xml:space="preserve">Vom Zahlungsanbieter ausgelöstes, signiertes Server-zu-Server-Ereignis.</w:t>
            </w:r>
          </w:p>
        </w:tc>
      </w:tr>
      <w:tr>
        <w:tc>
          <w:tcPr>
            <w:tcW w:w="2400" w:type="dxa"/>
            <w:vAlign w:val="top"/>
          </w:tcPr>
          <w:p>
            <w:pPr>
              <w:spacing w:after="40"/>
            </w:pPr>
            <w:r>
              <w:t xml:space="preserve">Idempotenz</w:t>
            </w:r>
          </w:p>
        </w:tc>
        <w:tc>
          <w:tcPr>
            <w:tcW w:w="7100" w:type="dxa"/>
            <w:vAlign w:val="top"/>
          </w:tcPr>
          <w:p>
            <w:pPr>
              <w:spacing w:after="40"/>
            </w:pPr>
            <w:r>
              <w:t xml:space="preserve">Mehrfache Ausführung desselben Auftrags hat keine doppelte fachliche Wirkung.</w:t>
            </w:r>
          </w:p>
        </w:tc>
      </w:tr>
      <w:tr>
        <w:tc>
          <w:tcPr>
            <w:tcW w:w="2400" w:type="dxa"/>
            <w:vAlign w:val="top"/>
          </w:tcPr>
          <w:p>
            <w:pPr>
              <w:spacing w:after="40"/>
            </w:pPr>
            <w:r>
              <w:t xml:space="preserve">RPO</w:t>
            </w:r>
          </w:p>
        </w:tc>
        <w:tc>
          <w:tcPr>
            <w:tcW w:w="7100" w:type="dxa"/>
            <w:vAlign w:val="top"/>
          </w:tcPr>
          <w:p>
            <w:pPr>
              <w:spacing w:after="40"/>
            </w:pPr>
            <w:r>
              <w:t xml:space="preserve">Maximal tolerierbarer Datenverlust gemessen in Zeit.</w:t>
            </w:r>
          </w:p>
        </w:tc>
      </w:tr>
      <w:tr>
        <w:tc>
          <w:tcPr>
            <w:tcW w:w="2400" w:type="dxa"/>
            <w:vAlign w:val="top"/>
          </w:tcPr>
          <w:p>
            <w:pPr>
              <w:spacing w:after="40"/>
            </w:pPr>
            <w:r>
              <w:t xml:space="preserve">RTO</w:t>
            </w:r>
          </w:p>
        </w:tc>
        <w:tc>
          <w:tcPr>
            <w:tcW w:w="7100" w:type="dxa"/>
            <w:vAlign w:val="top"/>
          </w:tcPr>
          <w:p>
            <w:pPr>
              <w:spacing w:after="40"/>
            </w:pPr>
            <w:r>
              <w:t xml:space="preserve">Maximal tolerierbare Wiederanlaufzeit nach einem Ausfall.</w:t>
            </w:r>
          </w:p>
        </w:tc>
      </w:tr>
      <w:tr>
        <w:tc>
          <w:tcPr>
            <w:tcW w:w="2400" w:type="dxa"/>
            <w:vAlign w:val="top"/>
          </w:tcPr>
          <w:p>
            <w:pPr>
              <w:spacing w:after="40"/>
            </w:pPr>
            <w:r>
              <w:t xml:space="preserve">Wildcard-DNS</w:t>
            </w:r>
          </w:p>
        </w:tc>
        <w:tc>
          <w:tcPr>
            <w:tcW w:w="7100" w:type="dxa"/>
            <w:vAlign w:val="top"/>
          </w:tcPr>
          <w:p>
            <w:pPr>
              <w:spacing w:after="40"/>
            </w:pPr>
            <w:r>
              <w:t xml:space="preserve">DNS-Eintrag, der alle nicht spezifischer definierten Subdomains abdeckt.</w:t>
            </w:r>
          </w:p>
        </w:tc>
      </w:tr>
      <w:tr>
        <w:tc>
          <w:tcPr>
            <w:tcW w:w="2400" w:type="dxa"/>
            <w:vAlign w:val="top"/>
          </w:tcPr>
          <w:p>
            <w:pPr>
              <w:spacing w:after="40"/>
            </w:pPr>
            <w:r>
              <w:t xml:space="preserve">Wildcard-Zertifikat</w:t>
            </w:r>
          </w:p>
        </w:tc>
        <w:tc>
          <w:tcPr>
            <w:tcW w:w="7100" w:type="dxa"/>
            <w:vAlign w:val="top"/>
          </w:tcPr>
          <w:p>
            <w:pPr>
              <w:spacing w:after="40"/>
            </w:pPr>
            <w:r>
              <w:t xml:space="preserve">TLS-Zertifikat für Subdomains einer Domain, beispielsweise *.laufapp.ch.</w:t>
            </w:r>
          </w:p>
        </w:tc>
      </w:tr>
      <w:tr>
        <w:tc>
          <w:tcPr>
            <w:tcW w:w="2400" w:type="dxa"/>
            <w:vAlign w:val="top"/>
          </w:tcPr>
          <w:p>
            <w:pPr>
              <w:spacing w:after="40"/>
            </w:pPr>
            <w:r>
              <w:t xml:space="preserve">Offboarding</w:t>
            </w:r>
          </w:p>
        </w:tc>
        <w:tc>
          <w:tcPr>
            <w:tcW w:w="7100" w:type="dxa"/>
            <w:vAlign w:val="top"/>
          </w:tcPr>
          <w:p>
            <w:pPr>
              <w:spacing w:after="40"/>
            </w:pPr>
            <w:r>
              <w:t xml:space="preserve">Geordnete Beendigung, Export, Aufbewahrung und Löschung eines Kunden.</w:t>
            </w:r>
          </w:p>
        </w:tc>
      </w:tr>
    </w:tbl>
    <w:p>
      <w:pPr>
        <w:spacing w:after="40"/>
      </w:pPr>
      <w:r>
        <w:t xml:space="preserve"/>
      </w:r>
    </w:p>
    <w:p>
      <w:pPr>
        <w:pStyle w:val="Heading1"/>
        <w:keepNext/>
      </w:pPr>
      <w:r>
        <w:t xml:space="preserve">Anhang D – Quellen und weiterführende Referenzen</w:t>
      </w:r>
    </w:p>
    <w:p>
      <w:r>
        <w:t xml:space="preserve">Die folgenden Quellen wurden für technische und datenschutzbezogene Leitlinien herangezogen. Anbieterentscheidungen und rechtliche Pflichten sind vor Umsetzung aktuell zu prüfen.</w:t>
      </w:r>
    </w:p>
    <w:p>
      <w:r>
        <w:rPr>
          <w:b/>
        </w:rPr>
        <w:t xml:space="preserve">OWASP – Multi Tenant Security Cheat Sheet: </w:t>
      </w:r>
      <w:r>
        <w:rPr>
          <w:color w:val="0563C1"/>
        </w:rPr>
        <w:t xml:space="preserve">https://cheatsheetseries.owasp.org/cheatsheets/Multi_Tenant_Security_Cheat_Sheet.html</w:t>
      </w:r>
    </w:p>
    <w:p>
      <w:r>
        <w:rPr>
          <w:b/>
        </w:rPr>
        <w:t xml:space="preserve">OWASP – Authentication Cheat Sheet: </w:t>
      </w:r>
      <w:r>
        <w:rPr>
          <w:color w:val="0563C1"/>
        </w:rPr>
        <w:t xml:space="preserve">https://cheatsheetseries.owasp.org/cheatsheets/Authentication_Cheat_Sheet.html</w:t>
      </w:r>
    </w:p>
    <w:p>
      <w:r>
        <w:rPr>
          <w:b/>
        </w:rPr>
        <w:t xml:space="preserve">OWASP – Password Storage Cheat Sheet: </w:t>
      </w:r>
      <w:r>
        <w:rPr>
          <w:color w:val="0563C1"/>
        </w:rPr>
        <w:t xml:space="preserve">https://cheatsheetseries.owasp.org/cheatsheets/Password_Storage_Cheat_Sheet.html</w:t>
      </w:r>
    </w:p>
    <w:p>
      <w:r>
        <w:rPr>
          <w:b/>
        </w:rPr>
        <w:t xml:space="preserve">OWASP – Session Management Cheat Sheet: </w:t>
      </w:r>
      <w:r>
        <w:rPr>
          <w:color w:val="0563C1"/>
        </w:rPr>
        <w:t xml:space="preserve">https://cheatsheetseries.owasp.org/cheatsheets/Session_Management_Cheat_Sheet.html</w:t>
      </w:r>
    </w:p>
    <w:p>
      <w:r>
        <w:rPr>
          <w:b/>
        </w:rPr>
        <w:t xml:space="preserve">Apache HTTP Server – Name-based Virtual Host Support: </w:t>
      </w:r>
      <w:r>
        <w:rPr>
          <w:color w:val="0563C1"/>
        </w:rPr>
        <w:t xml:space="preserve">https://httpd.apache.org/docs/current/vhosts/name-based.html</w:t>
      </w:r>
    </w:p>
    <w:p>
      <w:r>
        <w:rPr>
          <w:b/>
        </w:rPr>
        <w:t xml:space="preserve">Let’s Encrypt – Challenge-Typen und DNS-01: </w:t>
      </w:r>
      <w:r>
        <w:rPr>
          <w:color w:val="0563C1"/>
        </w:rPr>
        <w:t xml:space="preserve">https://letsencrypt.org/de/docs/challenge-types/</w:t>
      </w:r>
    </w:p>
    <w:p>
      <w:r>
        <w:rPr>
          <w:b/>
        </w:rPr>
        <w:t xml:space="preserve">Stripe – Webhooks für Abonnements: </w:t>
      </w:r>
      <w:r>
        <w:rPr>
          <w:color w:val="0563C1"/>
        </w:rPr>
        <w:t xml:space="preserve">https://docs.stripe.com/billing/subscriptions/webhooks</w:t>
      </w:r>
    </w:p>
    <w:p>
      <w:r>
        <w:rPr>
          <w:b/>
        </w:rPr>
        <w:t xml:space="preserve">Stripe – Customer Portal: </w:t>
      </w:r>
      <w:r>
        <w:rPr>
          <w:color w:val="0563C1"/>
        </w:rPr>
        <w:t xml:space="preserve">https://docs.stripe.com/no-code/customer-portal</w:t>
      </w:r>
    </w:p>
    <w:p>
      <w:r>
        <w:rPr>
          <w:b/>
        </w:rPr>
        <w:t xml:space="preserve">EDÖB – Das neue Datenschutzgesetz aus Sicht des EDÖB: </w:t>
      </w:r>
      <w:r>
        <w:rPr>
          <w:color w:val="0563C1"/>
        </w:rPr>
        <w:t xml:space="preserve">https://www.edoeb.admin.ch/de/das-neue-datenschutzgesetz-aus-sicht-des-edob</w:t>
      </w:r>
    </w:p>
    <w:p>
      <w:r>
        <w:rPr>
          <w:b/>
        </w:rPr>
        <w:t xml:space="preserve">EDÖB – Datenschutz in Vereinen: </w:t>
      </w:r>
      <w:r>
        <w:rPr>
          <w:color w:val="0563C1"/>
        </w:rPr>
        <w:t xml:space="preserve">https://www.edoeb.admin.ch/en/data-protection-in-clubs-and-associations</w:t>
      </w:r>
    </w:p>
    <w:p>
      <w:r>
        <w:rPr>
          <w:b/>
        </w:rPr>
        <w:t xml:space="preserve">EDÖB – Datenschutz-Folgenabschätzung: </w:t>
      </w:r>
      <w:r>
        <w:rPr>
          <w:color w:val="0563C1"/>
        </w:rPr>
        <w:t xml:space="preserve">https://www.edoeb.admin.ch/en/data-protection-impact-assessment</w:t>
      </w:r>
    </w:p>
    <w:p>
      <w:pPr>
        <w:jc w:val="center"/>
        <w:spacing w:before="500"/>
      </w:pPr>
      <w:r>
        <w:rPr>
          <w:i/>
          <w:color w:val="6B7280"/>
        </w:rPr>
        <w:t xml:space="preserve">Ende des Konzeptpapiers</w:t>
      </w:r>
    </w:p>
    <w:sectPr>
      <w:pgSz w:w="11906" w:h="16838"/>
      <w:pgMar w:top="1134" w:right="1134" w:bottom="1276" w:left="1134" w:header="567" w:footer="567" w:gutter="0"/>
      <w:cols w:space="708"/>
      <w:docGrid w:linePitch="360"/>
      <w:footerReference w:type="default" r:id="rId1"/>
    </w:sectPr>
  </w:body>
</w:document>
</file>

<file path=word/footer1.xml><?xml version="1.0" encoding="utf-8"?>
<w:ftr xmlns:w="http://schemas.openxmlformats.org/wordprocessingml/2006/main">
  <w:p>
    <w:pPr>
      <w:jc w:val="center"/>
      <w:pBdr>
        <w:top w:val="single" w:sz="4" w:space="4" w:color="B7C9D3"/>
      </w:pBdr>
    </w:pPr>
    <w:r>
      <w:rPr>
        <w:color w:val="6B7280"/>
        <w:sz w:val="18"/>
      </w:rPr>
      <w:t>Konzeptpapier SaaS-Plattform für Laufanlässe  ·  Seite </w:t>
    </w:r>
    <w:fldSimple w:instr="PAGE">
      <w:r>
        <w:rPr>
          <w:color w:val="6B7280"/>
          <w:sz w:val="18"/>
        </w:rPr>
        <w:t>1</w:t>
      </w:r>
    </w:fldSimple>
  </w:p>
</w:ftr>
</file>

<file path=word/styles.xml><?xml version="1.0" encoding="utf-8"?>
<w:styles xmlns:w="http://schemas.openxmlformats.org/wordprocessingml/2006/main">
  <w:docDefaults>
    <w:rPrDefault>
      <w:rPr>
        <w:rFonts w:ascii="Aptos" w:hAnsi="Aptos" w:eastAsia="Aptos"/>
        <w:sz w:val="21"/>
        <w:szCs w:val="21"/>
        <w:lang w:val="de-CH"/>
      </w:rPr>
    </w:rPrDefault>
    <w:pPrDefault>
      <w:pPr>
        <w:spacing w:after="120" w:line="276" w:lineRule="auto"/>
      </w:pPr>
    </w:pPrDefault>
  </w:docDefaults>
  <w:style w:type="paragraph" w:default="1" w:styleId="Normal">
    <w:name w:val="Standard"/>
    <w:qFormat/>
    <w:pPr>
      <w:spacing w:after="120"/>
    </w:pPr>
  </w:style>
  <w:style w:type="paragraph" w:styleId="Title">
    <w:name w:val="Titel"/>
    <w:basedOn w:val="Normal"/>
    <w:qFormat/>
    <w:pPr>
      <w:spacing w:after="200"/>
      <w:jc w:val="center"/>
    </w:pPr>
    <w:rPr>
      <w:b/>
      <w:color w:val="123B52"/>
      <w:sz w:val="48"/>
      <w:szCs w:val="48"/>
    </w:rPr>
  </w:style>
  <w:style w:type="paragraph" w:styleId="Subtitle">
    <w:name w:val="Untertitel"/>
    <w:basedOn w:val="Normal"/>
    <w:qFormat/>
    <w:rPr>
      <w:color w:val="39758D"/>
      <w:sz w:val="28"/>
      <w:szCs w:val="28"/>
    </w:rPr>
  </w:style>
  <w:style w:type="paragraph" w:styleId="Kicker">
    <w:name w:val="Kicker"/>
    <w:basedOn w:val="Normal"/>
    <w:rPr>
      <w:b/>
      <w:color w:val="2E7D6B"/>
      <w:spacing w:val="30"/>
      <w:sz w:val="18"/>
    </w:rPr>
  </w:style>
  <w:style w:type="paragraph" w:styleId="Heading1">
    <w:name w:val="Überschrift 1"/>
    <w:basedOn w:val="Normal"/>
    <w:next w:val="Normal"/>
    <w:qFormat/>
    <w:pPr>
      <w:keepNext/>
      <w:keepLines/>
      <w:spacing w:before="320" w:after="160"/>
      <w:outlineLvl w:val="0"/>
    </w:pPr>
    <w:rPr>
      <w:b/>
      <w:color w:val="123B52"/>
      <w:sz w:val="32"/>
      <w:szCs w:val="32"/>
    </w:rPr>
  </w:style>
  <w:style w:type="paragraph" w:styleId="Heading2">
    <w:name w:val="Überschrift 2"/>
    <w:basedOn w:val="Normal"/>
    <w:next w:val="Normal"/>
    <w:qFormat/>
    <w:pPr>
      <w:keepNext/>
      <w:keepLines/>
      <w:spacing w:before="240" w:after="100"/>
      <w:outlineLvl w:val="1"/>
    </w:pPr>
    <w:rPr>
      <w:b/>
      <w:color w:val="176B87"/>
      <w:sz w:val="26"/>
      <w:szCs w:val="26"/>
    </w:rPr>
  </w:style>
  <w:style w:type="paragraph" w:styleId="Heading3">
    <w:name w:val="Überschrift 3"/>
    <w:basedOn w:val="Normal"/>
    <w:next w:val="Normal"/>
    <w:qFormat/>
    <w:pPr>
      <w:keepNext/>
      <w:keepLines/>
      <w:spacing w:before="180" w:after="80"/>
      <w:outlineLvl w:val="2"/>
    </w:pPr>
    <w:rPr>
      <w:b/>
      <w:color w:val="2E7D6B"/>
      <w:sz w:val="22"/>
      <w:szCs w:val="22"/>
    </w:rPr>
  </w:style>
  <w:style w:type="paragraph" w:styleId="ListBullet">
    <w:name w:val="Aufzählung"/>
    <w:basedOn w:val="Normal"/>
    <w:pPr>
      <w:spacing w:after="60"/>
    </w:pPr>
  </w:style>
  <w:style w:type="paragraph" w:styleId="ListNumber">
    <w:name w:val="Nummerierung"/>
    <w:basedOn w:val="Normal"/>
    <w:pPr>
      <w:spacing w:after="60"/>
    </w:pPr>
  </w:style>
  <w:style w:type="paragraph" w:styleId="Quote">
    <w:name w:val="Zitat"/>
    <w:basedOn w:val="Normal"/>
    <w:pPr>
      <w:ind w:left="520" w:right="520"/>
    </w:pPr>
    <w:rPr>
      <w:i/>
      <w:color w:val="5B6570"/>
    </w:rPr>
  </w:style>
  <w:style w:type="paragraph" w:styleId="Code">
    <w:name w:val="Code"/>
    <w:basedOn w:val="Normal"/>
    <w:pPr>
      <w:ind w:left="160" w:right="160"/>
      <w:spacing w:after="0"/>
    </w:pPr>
    <w:rPr>
      <w:rFonts w:ascii="Consolas" w:hAnsi="Consolas"/>
      <w:sz w:val="18"/>
      <w:szCs w:val="18"/>
    </w:rPr>
  </w:style>
</w:styles>
</file>

<file path=word/_rels/document.xml.rels><?xml version="1.0" encoding="UTF-8" standalone="yes"?>
<Relationships xmlns="http://schemas.openxmlformats.org/package/2006/relationships">
  <Relationship Id="rId1" Type="http://schemas.openxmlformats.org/officeDocument/2006/relationships/footer" Target="footer1.xml"/>
  <Relationship Id="rId2"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 SaaS-Plattform für Laufanlässe</dc:title>
  <dc:subject>Mandantenfähiger Betrieb mit Subdomain und Abonnement pro Kunde</dc:subject>
  <dc:creator>OpenAI Codex</dc:creator>
  <cp:keywords>SaaS, Laufanlass, Mandantenfähigkeit, Subdomain, Abonnement, Datenschutz</cp:keywords>
  <dc:description>Ausführliches Diskussions- und Entscheidungspapier.</dc:description>
  <cp:lastModifiedBy>OpenAI Codex</cp:lastModifiedBy>
  <dcterms:created xsi:type="dcterms:W3CDTF">2026-07-06T15:46:42Z</dcterms:created>
  <dcterms:modified xsi:type="dcterms:W3CDTF">2026-07-06T15:46:42Z</dcterms:modified>
</cp:coreProperties>
</file>