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80" w:line="240" w:lineRule="auto"/>
        <w:jc w:val="center"/>
      </w:pPr>
      <w:r>
        <w:rPr>
          <w:rFonts w:ascii="Calibri" w:hAnsi="Calibri"/>
          <w:b/>
          <w:i w:val="0"/>
          <w:color w:val="F66F61"/>
          <w:sz w:val="36"/>
        </w:rPr>
        <w:t>BetterRX</w:t>
      </w:r>
      <w:r>
        <w:rPr>
          <w:rFonts w:ascii="Calibri" w:hAnsi="Calibri"/>
          <w:b w:val="0"/>
          <w:i w:val="0"/>
          <w:color w:val="68757D"/>
          <w:sz w:val="32"/>
        </w:rPr>
        <w:t xml:space="preserve">  +  </w:t>
      </w:r>
      <w:r>
        <w:rPr>
          <w:rFonts w:ascii="Calibri" w:hAnsi="Calibri"/>
          <w:b/>
          <w:i w:val="0"/>
          <w:color w:val="102C3E"/>
          <w:sz w:val="36"/>
        </w:rPr>
        <w:t>DME+</w:t>
      </w:r>
    </w:p>
    <w:p>
      <w:pPr>
        <w:keepLines w:val="0"/>
        <w:spacing w:before="0" w:after="160" w:line="240" w:lineRule="auto"/>
        <w:jc w:val="center"/>
      </w:pPr>
      <w:r>
        <w:rPr>
          <w:rFonts w:ascii="Calibri" w:hAnsi="Calibri"/>
          <w:b/>
          <w:i w:val="0"/>
          <w:color w:val="F66F61"/>
          <w:sz w:val="19"/>
        </w:rPr>
        <w:t>BUSINESS CASE &amp; METHODOLOGY</w:t>
      </w:r>
    </w:p>
    <w:p>
      <w:pPr>
        <w:keepLines w:val="0"/>
        <w:spacing w:before="0" w:after="120" w:line="240" w:lineRule="auto"/>
        <w:jc w:val="center"/>
      </w:pPr>
      <w:r>
        <w:rPr>
          <w:rFonts w:ascii="Calibri" w:hAnsi="Calibri"/>
          <w:b/>
          <w:i w:val="0"/>
          <w:color w:val="102C3E"/>
          <w:sz w:val="60"/>
        </w:rPr>
        <w:t>DME Direct</w:t>
      </w:r>
    </w:p>
    <w:p>
      <w:pPr>
        <w:keepLines w:val="0"/>
        <w:spacing w:before="0" w:after="280" w:line="276" w:lineRule="auto"/>
        <w:jc w:val="center"/>
      </w:pPr>
      <w:r>
        <w:rPr>
          <w:rFonts w:ascii="Calibri" w:hAnsi="Calibri"/>
          <w:b w:val="0"/>
          <w:i w:val="0"/>
          <w:color w:val="173F55"/>
          <w:sz w:val="27"/>
        </w:rPr>
        <w:t>A provider-led visibility, fulfillment and recovery system for durable medical equipment</w:t>
      </w:r>
    </w:p>
    <w:tbl>
      <w:tblPr>
        <w:tblW w:type="dxa" w:w="9360"/>
        <w:jc w:val="left"/>
        <w:tblLayout w:type="fixed"/>
        <w:tblLook w:firstColumn="1" w:firstRow="1" w:lastColumn="0" w:lastRow="0" w:noHBand="0" w:noVBand="1" w:val="04A0"/>
        <w:tblInd w:w="0" w:type="dxa"/>
      </w:tblPr>
      <w:tblGrid>
        <w:gridCol w:w="4680"/>
        <w:gridCol w:w="4680"/>
      </w:tblGrid>
      <w:tr>
        <w:tc>
          <w:tcPr>
            <w:tcW w:type="dxa" w:w="4680"/>
            <w:tcMar>
              <w:top w:w="100" w:type="dxa"/>
              <w:start w:w="130" w:type="dxa"/>
              <w:bottom w:w="100" w:type="dxa"/>
              <w:end w:w="130" w:type="dxa"/>
            </w:tcMar>
            <w:vAlign w:val="center"/>
            <w:shd w:fill="FFF0ED"/>
          </w:tcPr>
          <w:p>
            <w:pPr>
              <w:spacing w:after="80"/>
              <w:jc w:val="center"/>
            </w:pPr>
            <w:r>
              <w:rPr>
                <w:rFonts w:ascii="Calibri" w:hAnsi="Calibri"/>
                <w:b/>
                <w:i w:val="0"/>
                <w:color w:val="F66F61"/>
                <w:sz w:val="17"/>
              </w:rPr>
              <w:t>BETTERRX</w:t>
            </w:r>
          </w:p>
          <w:p>
            <w:pPr>
              <w:spacing w:after="0" w:line="264" w:lineRule="auto"/>
              <w:jc w:val="center"/>
            </w:pPr>
            <w:r>
              <w:rPr>
                <w:rFonts w:ascii="Calibri" w:hAnsi="Calibri"/>
                <w:b/>
                <w:i w:val="0"/>
                <w:color w:val="102C3E"/>
                <w:sz w:val="21"/>
              </w:rPr>
              <w:t>DME visibility, without the noise.</w:t>
            </w:r>
          </w:p>
        </w:tc>
        <w:tc>
          <w:tcPr>
            <w:tcW w:type="dxa" w:w="4680"/>
            <w:tcMar>
              <w:top w:w="100" w:type="dxa"/>
              <w:start w:w="130" w:type="dxa"/>
              <w:bottom w:w="100" w:type="dxa"/>
              <w:end w:w="130" w:type="dxa"/>
            </w:tcMar>
            <w:vAlign w:val="center"/>
            <w:shd w:fill="EAF2F5"/>
          </w:tcPr>
          <w:p>
            <w:pPr>
              <w:spacing w:after="80"/>
              <w:jc w:val="center"/>
            </w:pPr>
            <w:r>
              <w:rPr>
                <w:rFonts w:ascii="Calibri" w:hAnsi="Calibri"/>
                <w:b/>
                <w:i w:val="0"/>
                <w:color w:val="102C3E"/>
                <w:sz w:val="17"/>
              </w:rPr>
              <w:t>DME DIRECT</w:t>
            </w:r>
          </w:p>
          <w:p>
            <w:pPr>
              <w:spacing w:after="0" w:line="264" w:lineRule="auto"/>
              <w:jc w:val="center"/>
            </w:pPr>
            <w:r>
              <w:rPr>
                <w:rFonts w:ascii="Calibri" w:hAnsi="Calibri"/>
                <w:b/>
                <w:i w:val="0"/>
                <w:color w:val="102C3E"/>
                <w:sz w:val="21"/>
              </w:rPr>
              <w:t>The right equipment where you need it, when your loved ones need it most.</w:t>
            </w:r>
          </w:p>
        </w:tc>
      </w:tr>
    </w:tbl>
    <w:p>
      <w:pPr>
        <w:keepLines w:val="0"/>
        <w:spacing w:before="0" w:after="120" w:line="320" w:lineRule="auto"/>
      </w:pPr>
    </w:p>
    <w:p>
      <w:pPr>
        <w:spacing w:after="160"/>
        <w:jc w:val="center"/>
      </w:pPr>
      <w:r>
        <w:drawing>
          <wp:inline xmlns:a="http://schemas.openxmlformats.org/drawingml/2006/main" xmlns:pic="http://schemas.openxmlformats.org/drawingml/2006/picture">
            <wp:extent cx="5943600" cy="3122967"/>
            <wp:docPr id="1" name="Picture 1" descr="DME Direct care team, patient, medical equipment and delivery route"/>
            <wp:cNvGraphicFramePr>
              <a:graphicFrameLocks noChangeAspect="1"/>
            </wp:cNvGraphicFramePr>
            <a:graphic>
              <a:graphicData uri="http://schemas.openxmlformats.org/drawingml/2006/picture">
                <pic:pic>
                  <pic:nvPicPr>
                    <pic:cNvPr id="0" name="undone-dme-direct-landing.png"/>
                    <pic:cNvPicPr/>
                  </pic:nvPicPr>
                  <pic:blipFill>
                    <a:blip r:embed="rId13"/>
                    <a:stretch>
                      <a:fillRect/>
                    </a:stretch>
                  </pic:blipFill>
                  <pic:spPr>
                    <a:xfrm>
                      <a:off x="0" y="0"/>
                      <a:ext cx="5943600" cy="3122967"/>
                    </a:xfrm>
                    <a:prstGeom prst="rect"/>
                  </pic:spPr>
                </pic:pic>
              </a:graphicData>
            </a:graphic>
          </wp:inline>
        </w:drawing>
      </w:r>
    </w:p>
    <w:p>
      <w:pPr>
        <w:keepLines w:val="0"/>
        <w:spacing w:before="0" w:after="40" w:line="240" w:lineRule="auto"/>
        <w:jc w:val="center"/>
      </w:pPr>
      <w:r>
        <w:rPr>
          <w:rFonts w:ascii="Calibri" w:hAnsi="Calibri"/>
          <w:b/>
          <w:i w:val="0"/>
          <w:color w:val="68757D"/>
          <w:sz w:val="20"/>
        </w:rPr>
        <w:t>August 2026</w:t>
      </w:r>
    </w:p>
    <w:p>
      <w:pPr>
        <w:keepLines w:val="0"/>
        <w:spacing w:before="0" w:after="0" w:line="240" w:lineRule="auto"/>
        <w:jc w:val="center"/>
      </w:pPr>
      <w:r>
        <w:rPr>
          <w:rFonts w:ascii="Calibri" w:hAnsi="Calibri"/>
          <w:b w:val="0"/>
          <w:i/>
          <w:color w:val="68757D"/>
          <w:sz w:val="19"/>
        </w:rPr>
        <w:t>Prepared for founders | Live product demonstration | Judging review</w:t>
      </w:r>
    </w:p>
    <w:p>
      <w:r>
        <w:br w:type="page"/>
      </w:r>
    </w:p>
    <w:p>
      <w:pPr>
        <w:keepLines/>
        <w:spacing w:before="0" w:after="80" w:line="240" w:lineRule="auto"/>
      </w:pPr>
      <w:r>
        <w:rPr>
          <w:rFonts w:ascii="Calibri" w:hAnsi="Calibri"/>
          <w:b/>
          <w:i w:val="0"/>
          <w:caps/>
          <w:color w:val="F66F61"/>
          <w:sz w:val="18"/>
        </w:rPr>
        <w:t>SECTION 01</w:t>
      </w:r>
    </w:p>
    <w:p>
      <w:pPr>
        <w:pStyle w:val="Heading1"/>
        <w:keepNext/>
      </w:pPr>
      <w:r>
        <w:t>The founder case</w:t>
      </w:r>
    </w:p>
    <w:p>
      <w:pPr>
        <w:keepLines w:val="0"/>
        <w:spacing w:before="0" w:after="240" w:line="300" w:lineRule="auto"/>
      </w:pPr>
      <w:r>
        <w:rPr>
          <w:rFonts w:ascii="Calibri" w:hAnsi="Calibri"/>
          <w:b w:val="0"/>
          <w:i w:val="0"/>
          <w:color w:val="68757D"/>
          <w:sz w:val="23"/>
        </w:rPr>
        <w:t>A focused business case for turning DME coordination from a fragmented cost center into a measurable care, service and margin capability.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0ED"/>
          </w:tcPr>
          <w:p>
            <w:pPr>
              <w:spacing w:after="40" w:line="276" w:lineRule="auto"/>
            </w:pPr>
            <w:r>
              <w:rPr>
                <w:rFonts w:ascii="Calibri" w:hAnsi="Calibri"/>
                <w:b/>
                <w:i w:val="0"/>
                <w:color w:val="F66F61"/>
                <w:sz w:val="17"/>
              </w:rPr>
              <w:t>CORE THESIS</w:t>
            </w:r>
          </w:p>
          <w:p>
            <w:pPr>
              <w:spacing w:after="0" w:line="288" w:lineRule="auto"/>
            </w:pPr>
            <w:r>
              <w:rPr>
                <w:rFonts w:ascii="Calibri" w:hAnsi="Calibri"/>
                <w:b/>
                <w:i w:val="0"/>
                <w:color w:val="1F2930"/>
                <w:sz w:val="22"/>
              </w:rPr>
              <w:t>BetterRX + DME Direct can make every order visible, every exception actionable, every vendor decision reproducible and every preventable service failure financially traceable.</w:t>
            </w:r>
          </w:p>
        </w:tc>
      </w:tr>
    </w:tbl>
    <w:p>
      <w:pPr>
        <w:spacing w:after="40"/>
      </w:pPr>
    </w:p>
    <w:p>
      <w:pPr>
        <w:pStyle w:val="Heading2"/>
        <w:keepNext/>
      </w:pPr>
      <w:r>
        <w:t>The decision in front of the founders</w:t>
      </w:r>
    </w:p>
    <w:p>
      <w:pPr>
        <w:keepLines w:val="0"/>
        <w:spacing w:before="0" w:after="160" w:line="320" w:lineRule="auto"/>
      </w:pPr>
      <w:r>
        <w:rPr>
          <w:rFonts w:ascii="Calibri" w:hAnsi="Calibri"/>
          <w:b w:val="0"/>
          <w:i w:val="0"/>
          <w:color w:val="1F2930"/>
          <w:sz w:val="22"/>
        </w:rPr>
        <w:t>Approve a measured pilot of DME Direct as a role-based provider and vendor workflow, with explicit safeguards, deterministic vendor selection, live fulfillment visibility, preventable service failure recovery, and contribution-margin reporting.</w:t>
      </w:r>
    </w:p>
    <w:p>
      <w:pPr>
        <w:pStyle w:val="Heading2"/>
        <w:keepNext/>
      </w:pPr>
      <w:r>
        <w:t>Why this matters</w:t>
      </w:r>
    </w:p>
    <w:p>
      <w:pPr>
        <w:pStyle w:val="ListBullet"/>
        <w:spacing w:after="80" w:line="290" w:lineRule="auto"/>
        <w:ind w:left="540" w:hanging="279"/>
      </w:pPr>
      <w:r>
        <w:rPr>
          <w:rFonts w:ascii="Calibri" w:hAnsi="Calibri"/>
          <w:b/>
          <w:i w:val="0"/>
          <w:color w:val="1F2930"/>
          <w:sz w:val="22"/>
        </w:rPr>
        <w:t>Care continuity.</w:t>
      </w:r>
      <w:r>
        <w:rPr>
          <w:rFonts w:ascii="Calibri" w:hAnsi="Calibri"/>
          <w:b w:val="0"/>
          <w:i w:val="0"/>
          <w:color w:val="1F2930"/>
          <w:sz w:val="22"/>
        </w:rPr>
        <w:t xml:space="preserve"> Admissions and clinical teams need equipment, proof and pickup status without chasing phone calls or relying on one person’s shift knowledge.</w:t>
      </w:r>
    </w:p>
    <w:p>
      <w:pPr>
        <w:pStyle w:val="ListBullet"/>
        <w:spacing w:after="80" w:line="290" w:lineRule="auto"/>
        <w:ind w:left="540" w:hanging="279"/>
      </w:pPr>
      <w:r>
        <w:rPr>
          <w:rFonts w:ascii="Calibri" w:hAnsi="Calibri"/>
          <w:b/>
          <w:i w:val="0"/>
          <w:color w:val="1F2930"/>
          <w:sz w:val="22"/>
        </w:rPr>
        <w:t>Operational control.</w:t>
      </w:r>
      <w:r>
        <w:rPr>
          <w:rFonts w:ascii="Calibri" w:hAnsi="Calibri"/>
          <w:b w:val="0"/>
          <w:i w:val="0"/>
          <w:color w:val="1F2930"/>
          <w:sz w:val="22"/>
        </w:rPr>
        <w:t xml:space="preserve"> Orders need duplicate resolution, approval authority, vendor confirmation, severe-weather guardrails and an auditable timeline.</w:t>
      </w:r>
    </w:p>
    <w:p>
      <w:pPr>
        <w:pStyle w:val="ListBullet"/>
        <w:spacing w:after="80" w:line="290" w:lineRule="auto"/>
        <w:ind w:left="540" w:hanging="279"/>
      </w:pPr>
      <w:r>
        <w:rPr>
          <w:rFonts w:ascii="Calibri" w:hAnsi="Calibri"/>
          <w:b/>
          <w:i w:val="0"/>
          <w:color w:val="1F2930"/>
          <w:sz w:val="22"/>
        </w:rPr>
        <w:t>Economic visibility.</w:t>
      </w:r>
      <w:r>
        <w:rPr>
          <w:rFonts w:ascii="Calibri" w:hAnsi="Calibri"/>
          <w:b w:val="0"/>
          <w:i w:val="0"/>
          <w:color w:val="1F2930"/>
          <w:sz w:val="22"/>
        </w:rPr>
        <w:t xml:space="preserve"> Leadership needs to see direct DME cost, benchmark variance, revenue at risk, recovered revenue and contribution margin in the same operating view.</w:t>
      </w:r>
    </w:p>
    <w:p>
      <w:pPr>
        <w:pStyle w:val="ListBullet"/>
        <w:spacing w:after="80" w:line="290" w:lineRule="auto"/>
        <w:ind w:left="540" w:hanging="279"/>
      </w:pPr>
      <w:r>
        <w:rPr>
          <w:rFonts w:ascii="Calibri" w:hAnsi="Calibri"/>
          <w:b/>
          <w:i w:val="0"/>
          <w:color w:val="1F2930"/>
          <w:sz w:val="22"/>
        </w:rPr>
        <w:t>Network accountability.</w:t>
      </w:r>
      <w:r>
        <w:rPr>
          <w:rFonts w:ascii="Calibri" w:hAnsi="Calibri"/>
          <w:b w:val="0"/>
          <w:i w:val="0"/>
          <w:color w:val="1F2930"/>
          <w:sz w:val="22"/>
        </w:rPr>
        <w:t xml:space="preserve"> Vendor quality, dispatch coverage and Preventable Service Failures (PSFs) should change future matching in a defined, reviewable way.</w:t>
      </w:r>
    </w:p>
    <w:p>
      <w:pPr>
        <w:pStyle w:val="Heading2"/>
        <w:keepNext/>
      </w:pPr>
      <w:r>
        <w:t>What the demonstration proves</w:t>
      </w:r>
    </w:p>
    <w:tbl>
      <w:tblPr>
        <w:tblStyle w:val="TableGrid"/>
        <w:tblW w:type="dxa" w:w="9360"/>
        <w:tblLayout w:type="fixed"/>
        <w:tblLook w:firstColumn="1" w:firstRow="1" w:lastColumn="0" w:lastRow="0" w:noHBand="0" w:noVBand="1" w:val="04A0"/>
        <w:jc w:val="left"/>
        <w:tblInd w:w="120" w:type="dxa"/>
      </w:tblPr>
      <w:tblGrid>
        <w:gridCol w:w="2100"/>
        <w:gridCol w:w="3360"/>
        <w:gridCol w:w="3900"/>
      </w:tblGrid>
      <w:tr>
        <w:trPr>
          <w:tblHeader w:val="true"/>
        </w:trPr>
        <w:tc>
          <w:tcPr>
            <w:tcW w:type="dxa" w:w="21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Capability</w:t>
            </w:r>
          </w:p>
        </w:tc>
        <w:tc>
          <w:tcPr>
            <w:tcW w:type="dxa" w:w="336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Evidence in the demo</w:t>
            </w:r>
          </w:p>
        </w:tc>
        <w:tc>
          <w:tcPr>
            <w:tcW w:type="dxa" w:w="39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Founder-level implication</w:t>
            </w:r>
          </w:p>
        </w:tc>
      </w:tr>
      <w:tr>
        <w:tc>
          <w:tcPr>
            <w:tcW w:type="dxa" w:w="2100"/>
            <w:tcMar>
              <w:top w:w="100" w:type="dxa"/>
              <w:start w:w="130" w:type="dxa"/>
              <w:bottom w:w="100" w:type="dxa"/>
              <w:end w:w="130" w:type="dxa"/>
            </w:tcMar>
            <w:vAlign w:val="center"/>
          </w:tcPr>
          <w:p>
            <w:pPr>
              <w:spacing w:after="0" w:line="264" w:lineRule="auto"/>
            </w:pPr>
            <w:r>
              <w:rPr>
                <w:rFonts w:ascii="Calibri" w:hAnsi="Calibri"/>
                <w:b/>
                <w:i w:val="0"/>
                <w:color w:val="1F2930"/>
                <w:sz w:val="18"/>
              </w:rPr>
              <w:t>Provider workflow</w:t>
            </w:r>
          </w:p>
        </w:tc>
        <w:tc>
          <w:tcPr>
            <w:tcW w:type="dxa" w:w="3360"/>
            <w:tcMar>
              <w:top w:w="100" w:type="dxa"/>
              <w:start w:w="130" w:type="dxa"/>
              <w:bottom w:w="100" w:type="dxa"/>
              <w:end w:w="130" w:type="dxa"/>
            </w:tcMar>
            <w:vAlign w:val="center"/>
          </w:tcPr>
          <w:p>
            <w:pPr>
              <w:spacing w:after="0" w:line="264" w:lineRule="auto"/>
            </w:pPr>
            <w:r>
              <w:rPr>
                <w:rFonts w:ascii="Calibri" w:hAnsi="Calibri"/>
                <w:b w:val="0"/>
                <w:i w:val="0"/>
                <w:color w:val="1F2930"/>
                <w:sz w:val="18"/>
              </w:rPr>
              <w:t>Role-based ordering, approvals, tracking, proof, messaging and pickup</w:t>
            </w:r>
          </w:p>
        </w:tc>
        <w:tc>
          <w:tcPr>
            <w:tcW w:type="dxa" w:w="3900"/>
            <w:tcMar>
              <w:top w:w="100" w:type="dxa"/>
              <w:start w:w="130" w:type="dxa"/>
              <w:bottom w:w="100" w:type="dxa"/>
              <w:end w:w="130" w:type="dxa"/>
            </w:tcMar>
            <w:vAlign w:val="center"/>
          </w:tcPr>
          <w:p>
            <w:pPr>
              <w:spacing w:after="0" w:line="264" w:lineRule="auto"/>
            </w:pPr>
            <w:r>
              <w:rPr>
                <w:rFonts w:ascii="Calibri" w:hAnsi="Calibri"/>
                <w:b w:val="0"/>
                <w:i w:val="0"/>
                <w:color w:val="1F2930"/>
                <w:sz w:val="18"/>
              </w:rPr>
              <w:t>One operational record across the DME lifecycle</w:t>
            </w:r>
          </w:p>
        </w:tc>
      </w:tr>
      <w:tr>
        <w:tc>
          <w:tcPr>
            <w:tcW w:type="dxa" w:w="21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Vendor workflow</w:t>
            </w:r>
          </w:p>
        </w:tc>
        <w:tc>
          <w:tcPr>
            <w:tcW w:type="dxa" w:w="33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Scoped sign-in, enrollment, catalog and dispatch availability</w:t>
            </w:r>
          </w:p>
        </w:tc>
        <w:tc>
          <w:tcPr>
            <w:tcW w:type="dxa" w:w="39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Structured network data before routing orders</w:t>
            </w:r>
          </w:p>
        </w:tc>
      </w:tr>
      <w:tr>
        <w:tc>
          <w:tcPr>
            <w:tcW w:type="dxa" w:w="2100"/>
            <w:tcMar>
              <w:top w:w="100" w:type="dxa"/>
              <w:start w:w="130" w:type="dxa"/>
              <w:bottom w:w="100" w:type="dxa"/>
              <w:end w:w="130" w:type="dxa"/>
            </w:tcMar>
            <w:vAlign w:val="center"/>
          </w:tcPr>
          <w:p>
            <w:pPr>
              <w:spacing w:after="0" w:line="264" w:lineRule="auto"/>
            </w:pPr>
            <w:r>
              <w:rPr>
                <w:rFonts w:ascii="Calibri" w:hAnsi="Calibri"/>
                <w:b/>
                <w:i w:val="0"/>
                <w:color w:val="1F2930"/>
                <w:sz w:val="18"/>
              </w:rPr>
              <w:t>Risk &amp; resilience</w:t>
            </w:r>
          </w:p>
        </w:tc>
        <w:tc>
          <w:tcPr>
            <w:tcW w:type="dxa" w:w="3360"/>
            <w:tcMar>
              <w:top w:w="100" w:type="dxa"/>
              <w:start w:w="130" w:type="dxa"/>
              <w:bottom w:w="100" w:type="dxa"/>
              <w:end w:w="130" w:type="dxa"/>
            </w:tcMar>
            <w:vAlign w:val="center"/>
          </w:tcPr>
          <w:p>
            <w:pPr>
              <w:spacing w:after="0" w:line="264" w:lineRule="auto"/>
            </w:pPr>
            <w:r>
              <w:rPr>
                <w:rFonts w:ascii="Calibri" w:hAnsi="Calibri"/>
                <w:b w:val="0"/>
                <w:i w:val="0"/>
                <w:color w:val="1F2930"/>
                <w:sz w:val="18"/>
              </w:rPr>
              <w:t>Visible order risk plus required under-eight-hour disruption confirmation</w:t>
            </w:r>
          </w:p>
        </w:tc>
        <w:tc>
          <w:tcPr>
            <w:tcW w:type="dxa" w:w="3900"/>
            <w:tcMar>
              <w:top w:w="100" w:type="dxa"/>
              <w:start w:w="130" w:type="dxa"/>
              <w:bottom w:w="100" w:type="dxa"/>
              <w:end w:w="130" w:type="dxa"/>
            </w:tcMar>
            <w:vAlign w:val="center"/>
          </w:tcPr>
          <w:p>
            <w:pPr>
              <w:spacing w:after="0" w:line="264" w:lineRule="auto"/>
            </w:pPr>
            <w:r>
              <w:rPr>
                <w:rFonts w:ascii="Calibri" w:hAnsi="Calibri"/>
                <w:b w:val="0"/>
                <w:i w:val="0"/>
                <w:color w:val="1F2930"/>
                <w:sz w:val="18"/>
              </w:rPr>
              <w:t>Rules can prevent silent fulfillment failure</w:t>
            </w:r>
          </w:p>
        </w:tc>
      </w:tr>
      <w:tr>
        <w:tc>
          <w:tcPr>
            <w:tcW w:type="dxa" w:w="21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Financial recovery</w:t>
            </w:r>
          </w:p>
        </w:tc>
        <w:tc>
          <w:tcPr>
            <w:tcW w:type="dxa" w:w="33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PSF creation, recovery amount and revenue-at-risk tracking</w:t>
            </w:r>
          </w:p>
        </w:tc>
        <w:tc>
          <w:tcPr>
            <w:tcW w:type="dxa" w:w="39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Service recovery becomes measurable economic work</w:t>
            </w:r>
          </w:p>
        </w:tc>
      </w:tr>
      <w:tr>
        <w:tc>
          <w:tcPr>
            <w:tcW w:type="dxa" w:w="2100"/>
            <w:tcMar>
              <w:top w:w="100" w:type="dxa"/>
              <w:start w:w="130" w:type="dxa"/>
              <w:bottom w:w="100" w:type="dxa"/>
              <w:end w:w="130" w:type="dxa"/>
            </w:tcMar>
            <w:vAlign w:val="center"/>
          </w:tcPr>
          <w:p>
            <w:pPr>
              <w:spacing w:after="0" w:line="264" w:lineRule="auto"/>
            </w:pPr>
            <w:r>
              <w:rPr>
                <w:rFonts w:ascii="Calibri" w:hAnsi="Calibri"/>
                <w:b/>
                <w:i w:val="0"/>
                <w:color w:val="1F2930"/>
                <w:sz w:val="18"/>
              </w:rPr>
              <w:t>Leadership insight</w:t>
            </w:r>
          </w:p>
        </w:tc>
        <w:tc>
          <w:tcPr>
            <w:tcW w:type="dxa" w:w="3360"/>
            <w:tcMar>
              <w:top w:w="100" w:type="dxa"/>
              <w:start w:w="130" w:type="dxa"/>
              <w:bottom w:w="100" w:type="dxa"/>
              <w:end w:w="130" w:type="dxa"/>
            </w:tcMar>
            <w:vAlign w:val="center"/>
          </w:tcPr>
          <w:p>
            <w:pPr>
              <w:spacing w:after="0" w:line="264" w:lineRule="auto"/>
            </w:pPr>
            <w:r>
              <w:rPr>
                <w:rFonts w:ascii="Calibri" w:hAnsi="Calibri"/>
                <w:b w:val="0"/>
                <w:i w:val="0"/>
                <w:color w:val="1F2930"/>
                <w:sz w:val="18"/>
              </w:rPr>
              <w:t>Benchmark variance and contribution margin by reporting period</w:t>
            </w:r>
          </w:p>
        </w:tc>
        <w:tc>
          <w:tcPr>
            <w:tcW w:type="dxa" w:w="3900"/>
            <w:tcMar>
              <w:top w:w="100" w:type="dxa"/>
              <w:start w:w="130" w:type="dxa"/>
              <w:bottom w:w="100" w:type="dxa"/>
              <w:end w:w="130" w:type="dxa"/>
            </w:tcMar>
            <w:vAlign w:val="center"/>
          </w:tcPr>
          <w:p>
            <w:pPr>
              <w:spacing w:after="0" w:line="264" w:lineRule="auto"/>
            </w:pPr>
            <w:r>
              <w:rPr>
                <w:rFonts w:ascii="Calibri" w:hAnsi="Calibri"/>
                <w:b w:val="0"/>
                <w:i w:val="0"/>
                <w:color w:val="1F2930"/>
                <w:sz w:val="18"/>
              </w:rPr>
              <w:t>Operations and economics can be governed together</w:t>
            </w:r>
          </w:p>
        </w:tc>
      </w:tr>
    </w:tbl>
    <w:p>
      <w:pPr>
        <w:spacing w:after="40"/>
      </w:pPr>
    </w:p>
    <w:p>
      <w:r>
        <w:br w:type="page"/>
      </w:r>
    </w:p>
    <w:p>
      <w:pPr>
        <w:keepLines/>
        <w:spacing w:before="0" w:after="80" w:line="240" w:lineRule="auto"/>
      </w:pPr>
      <w:r>
        <w:rPr>
          <w:rFonts w:ascii="Calibri" w:hAnsi="Calibri"/>
          <w:b/>
          <w:i w:val="0"/>
          <w:caps/>
          <w:color w:val="F66F61"/>
          <w:sz w:val="18"/>
        </w:rPr>
        <w:t>SECTION 02</w:t>
      </w:r>
    </w:p>
    <w:p>
      <w:pPr>
        <w:pStyle w:val="Heading1"/>
        <w:keepNext/>
      </w:pPr>
      <w:r>
        <w:t>Problem, opportunity and product thesis</w:t>
      </w:r>
    </w:p>
    <w:p>
      <w:pPr>
        <w:keepLines w:val="0"/>
        <w:spacing w:before="0" w:after="240" w:line="300" w:lineRule="auto"/>
      </w:pPr>
      <w:r>
        <w:rPr>
          <w:rFonts w:ascii="Calibri" w:hAnsi="Calibri"/>
          <w:b w:val="0"/>
          <w:i w:val="0"/>
          <w:color w:val="68757D"/>
          <w:sz w:val="23"/>
        </w:rPr>
        <w:t>DME fulfillment is clinically important, operationally fragmented and economically under-instrumented.</w:t>
      </w:r>
    </w:p>
    <w:p>
      <w:pPr>
        <w:pStyle w:val="Heading2"/>
        <w:keepNext/>
      </w:pPr>
      <w:r>
        <w:t>Observed workflow problem</w:t>
      </w:r>
    </w:p>
    <w:p>
      <w:pPr>
        <w:keepLines w:val="0"/>
        <w:spacing w:before="0" w:after="160" w:line="320" w:lineRule="auto"/>
      </w:pPr>
      <w:r>
        <w:rPr>
          <w:rFonts w:ascii="Calibri" w:hAnsi="Calibri"/>
          <w:b w:val="0"/>
          <w:i w:val="0"/>
          <w:color w:val="1F2930"/>
          <w:sz w:val="22"/>
        </w:rPr>
        <w:t>The current-state pattern is a chain of manual handoffs: an order originates in the EHR, equipment availability is confirmed outside the system, exceptions move through informal escalation, delivery status lives with the vendor, and pickup or billing consequences surface later. That pattern creates four forms of leakage:</w:t>
      </w:r>
    </w:p>
    <w:p>
      <w:pPr>
        <w:pStyle w:val="ListBullet"/>
        <w:spacing w:after="80" w:line="290" w:lineRule="auto"/>
        <w:ind w:left="540" w:hanging="279"/>
      </w:pPr>
      <w:r>
        <w:rPr>
          <w:rFonts w:ascii="Calibri" w:hAnsi="Calibri"/>
          <w:b w:val="0"/>
          <w:i w:val="0"/>
          <w:color w:val="1F2930"/>
          <w:sz w:val="22"/>
        </w:rPr>
        <w:t>Time leakage from calls, texts, repeated status checks and shift-to-shift reconstruction.</w:t>
      </w:r>
    </w:p>
    <w:p>
      <w:pPr>
        <w:pStyle w:val="ListBullet"/>
        <w:spacing w:after="80" w:line="290" w:lineRule="auto"/>
        <w:ind w:left="540" w:hanging="279"/>
      </w:pPr>
      <w:r>
        <w:rPr>
          <w:rFonts w:ascii="Calibri" w:hAnsi="Calibri"/>
          <w:b w:val="0"/>
          <w:i w:val="0"/>
          <w:color w:val="1F2930"/>
          <w:sz w:val="22"/>
        </w:rPr>
        <w:t>Clinical leakage when equipment, timing or condition does not match the patient need.</w:t>
      </w:r>
    </w:p>
    <w:p>
      <w:pPr>
        <w:pStyle w:val="ListBullet"/>
        <w:spacing w:after="80" w:line="290" w:lineRule="auto"/>
        <w:ind w:left="540" w:hanging="279"/>
      </w:pPr>
      <w:r>
        <w:rPr>
          <w:rFonts w:ascii="Calibri" w:hAnsi="Calibri"/>
          <w:b w:val="0"/>
          <w:i w:val="0"/>
          <w:color w:val="1F2930"/>
          <w:sz w:val="22"/>
        </w:rPr>
        <w:t>Financial leakage from duplicate items, avoidable rentals, benchmark variance and unrecovered PSFs.</w:t>
      </w:r>
    </w:p>
    <w:p>
      <w:pPr>
        <w:pStyle w:val="ListBullet"/>
        <w:spacing w:after="80" w:line="290" w:lineRule="auto"/>
        <w:ind w:left="540" w:hanging="279"/>
      </w:pPr>
      <w:r>
        <w:rPr>
          <w:rFonts w:ascii="Calibri" w:hAnsi="Calibri"/>
          <w:b w:val="0"/>
          <w:i w:val="0"/>
          <w:color w:val="1F2930"/>
          <w:sz w:val="22"/>
        </w:rPr>
        <w:t>Governance leakage when vendor ranking or approvals cannot be reconstructed from explicit rules.</w:t>
      </w:r>
    </w:p>
    <w:p>
      <w:pPr>
        <w:pStyle w:val="Heading2"/>
        <w:keepNext/>
      </w:pPr>
      <w:r>
        <w:t>Product thesis</w:t>
      </w:r>
    </w:p>
    <w:p>
      <w:pPr>
        <w:keepLines w:val="0"/>
        <w:spacing w:before="0" w:after="160" w:line="320" w:lineRule="auto"/>
      </w:pPr>
      <w:r>
        <w:rPr>
          <w:rFonts w:ascii="Calibri" w:hAnsi="Calibri"/>
          <w:b w:val="0"/>
          <w:i w:val="0"/>
          <w:color w:val="1F2930"/>
          <w:sz w:val="22"/>
        </w:rPr>
        <w:t>DME Direct is not another general marketplace. It is a provider-led coordination layer that connects clinical intent, vendor execution and leadership economics. BetterRX supplies the visibility, controls and role-aware workflow; DME+ positions the service model around dependable equipment access and measurable network performance.</w:t>
      </w:r>
    </w:p>
    <w:p>
      <w:pPr>
        <w:pStyle w:val="Heading2"/>
        <w:keepNext/>
      </w:pPr>
      <w:r>
        <w:t>The operating loop</w:t>
      </w:r>
    </w:p>
    <w:tbl>
      <w:tblPr>
        <w:tblStyle w:val="TableGrid"/>
        <w:tblW w:type="dxa" w:w="9360"/>
        <w:tblLayout w:type="fixed"/>
        <w:tblLook w:firstColumn="1" w:firstRow="1" w:lastColumn="0" w:lastRow="0" w:noHBand="0" w:noVBand="1" w:val="04A0"/>
        <w:jc w:val="left"/>
        <w:tblInd w:w="120" w:type="dxa"/>
      </w:tblPr>
      <w:tblGrid>
        <w:gridCol w:w="1872"/>
        <w:gridCol w:w="1872"/>
        <w:gridCol w:w="1872"/>
        <w:gridCol w:w="1872"/>
        <w:gridCol w:w="1872"/>
      </w:tblGrid>
      <w:tr>
        <w:trPr>
          <w:tblHeader w:val="true"/>
        </w:trPr>
        <w:tc>
          <w:tcPr>
            <w:tcW w:type="dxa" w:w="1872"/>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1. Verify</w:t>
            </w:r>
          </w:p>
        </w:tc>
        <w:tc>
          <w:tcPr>
            <w:tcW w:type="dxa" w:w="1872"/>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2. Match</w:t>
            </w:r>
          </w:p>
        </w:tc>
        <w:tc>
          <w:tcPr>
            <w:tcW w:type="dxa" w:w="1872"/>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3. Fulfill</w:t>
            </w:r>
          </w:p>
        </w:tc>
        <w:tc>
          <w:tcPr>
            <w:tcW w:type="dxa" w:w="1872"/>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4. Recover</w:t>
            </w:r>
          </w:p>
        </w:tc>
        <w:tc>
          <w:tcPr>
            <w:tcW w:type="dxa" w:w="1872"/>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5. Improve</w:t>
            </w:r>
          </w:p>
        </w:tc>
      </w:tr>
      <w:tr>
        <w:tc>
          <w:tcPr>
            <w:tcW w:type="dxa" w:w="1872"/>
            <w:tcMar>
              <w:top w:w="100" w:type="dxa"/>
              <w:start w:w="130" w:type="dxa"/>
              <w:bottom w:w="100" w:type="dxa"/>
              <w:end w:w="130" w:type="dxa"/>
            </w:tcMar>
            <w:vAlign w:val="center"/>
          </w:tcPr>
          <w:p>
            <w:pPr>
              <w:spacing w:after="0" w:line="264" w:lineRule="auto"/>
            </w:pPr>
            <w:r>
              <w:rPr>
                <w:rFonts w:ascii="Calibri" w:hAnsi="Calibri"/>
                <w:b w:val="0"/>
                <w:i w:val="0"/>
                <w:color w:val="1F2930"/>
                <w:sz w:val="17"/>
              </w:rPr>
              <w:t>EHR context, standing order, duplicate and authority</w:t>
            </w:r>
          </w:p>
        </w:tc>
        <w:tc>
          <w:tcPr>
            <w:tcW w:type="dxa" w:w="1872"/>
            <w:tcMar>
              <w:top w:w="100" w:type="dxa"/>
              <w:start w:w="130" w:type="dxa"/>
              <w:bottom w:w="100" w:type="dxa"/>
              <w:end w:w="130" w:type="dxa"/>
            </w:tcMar>
            <w:vAlign w:val="center"/>
          </w:tcPr>
          <w:p>
            <w:pPr>
              <w:spacing w:after="0" w:line="264" w:lineRule="auto"/>
            </w:pPr>
            <w:r>
              <w:rPr>
                <w:rFonts w:ascii="Calibri" w:hAnsi="Calibri"/>
                <w:b w:val="0"/>
                <w:i w:val="0"/>
                <w:color w:val="1F2930"/>
                <w:sz w:val="17"/>
              </w:rPr>
              <w:t>Eligible vendors ranked by fit, history and conditions</w:t>
            </w:r>
          </w:p>
        </w:tc>
        <w:tc>
          <w:tcPr>
            <w:tcW w:type="dxa" w:w="1872"/>
            <w:tcMar>
              <w:top w:w="100" w:type="dxa"/>
              <w:start w:w="130" w:type="dxa"/>
              <w:bottom w:w="100" w:type="dxa"/>
              <w:end w:w="130" w:type="dxa"/>
            </w:tcMar>
            <w:vAlign w:val="center"/>
          </w:tcPr>
          <w:p>
            <w:pPr>
              <w:spacing w:after="0" w:line="264" w:lineRule="auto"/>
            </w:pPr>
            <w:r>
              <w:rPr>
                <w:rFonts w:ascii="Calibri" w:hAnsi="Calibri"/>
                <w:b w:val="0"/>
                <w:i w:val="0"/>
                <w:color w:val="1F2930"/>
                <w:sz w:val="17"/>
              </w:rPr>
              <w:t>ETA, proof, attestation, messaging and acknowledgment</w:t>
            </w:r>
          </w:p>
        </w:tc>
        <w:tc>
          <w:tcPr>
            <w:tcW w:type="dxa" w:w="1872"/>
            <w:tcMar>
              <w:top w:w="100" w:type="dxa"/>
              <w:start w:w="130" w:type="dxa"/>
              <w:bottom w:w="100" w:type="dxa"/>
              <w:end w:w="130" w:type="dxa"/>
            </w:tcMar>
            <w:vAlign w:val="center"/>
          </w:tcPr>
          <w:p>
            <w:pPr>
              <w:spacing w:after="0" w:line="264" w:lineRule="auto"/>
            </w:pPr>
            <w:r>
              <w:rPr>
                <w:rFonts w:ascii="Calibri" w:hAnsi="Calibri"/>
                <w:b w:val="0"/>
                <w:i w:val="0"/>
                <w:color w:val="1F2930"/>
                <w:sz w:val="17"/>
              </w:rPr>
              <w:t>PSF, revenue at risk, recovery and root cause</w:t>
            </w:r>
          </w:p>
        </w:tc>
        <w:tc>
          <w:tcPr>
            <w:tcW w:type="dxa" w:w="1872"/>
            <w:tcMar>
              <w:top w:w="100" w:type="dxa"/>
              <w:start w:w="130" w:type="dxa"/>
              <w:bottom w:w="100" w:type="dxa"/>
              <w:end w:w="130" w:type="dxa"/>
            </w:tcMar>
            <w:vAlign w:val="center"/>
          </w:tcPr>
          <w:p>
            <w:pPr>
              <w:spacing w:after="0" w:line="264" w:lineRule="auto"/>
            </w:pPr>
            <w:r>
              <w:rPr>
                <w:rFonts w:ascii="Calibri" w:hAnsi="Calibri"/>
                <w:b w:val="0"/>
                <w:i w:val="0"/>
                <w:color w:val="1F2930"/>
                <w:sz w:val="17"/>
              </w:rPr>
              <w:t>Benchmark, quality and PSF signals update network governance</w:t>
            </w:r>
          </w:p>
        </w:tc>
      </w:tr>
    </w:tbl>
    <w:p>
      <w:pPr>
        <w:spacing w:after="40"/>
      </w:pPr>
    </w:p>
    <w:p>
      <w:pPr>
        <w:pStyle w:val="Heading2"/>
        <w:keepNext/>
      </w:pPr>
      <w:r>
        <w:t>Role-specific value</w:t>
      </w:r>
    </w:p>
    <w:tbl>
      <w:tblPr>
        <w:tblStyle w:val="TableGrid"/>
        <w:tblW w:type="dxa" w:w="9360"/>
        <w:tblLayout w:type="fixed"/>
        <w:tblLook w:firstColumn="1" w:firstRow="1" w:lastColumn="0" w:lastRow="0" w:noHBand="0" w:noVBand="1" w:val="04A0"/>
        <w:jc w:val="left"/>
        <w:tblInd w:w="120" w:type="dxa"/>
      </w:tblPr>
      <w:tblGrid>
        <w:gridCol w:w="1700"/>
        <w:gridCol w:w="3000"/>
        <w:gridCol w:w="4660"/>
      </w:tblGrid>
      <w:tr>
        <w:trPr>
          <w:tblHeader w:val="true"/>
        </w:trPr>
        <w:tc>
          <w:tcPr>
            <w:tcW w:type="dxa" w:w="17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Role</w:t>
            </w:r>
          </w:p>
        </w:tc>
        <w:tc>
          <w:tcPr>
            <w:tcW w:type="dxa" w:w="30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Primary job</w:t>
            </w:r>
          </w:p>
        </w:tc>
        <w:tc>
          <w:tcPr>
            <w:tcW w:type="dxa" w:w="466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Controls and evidence</w:t>
            </w:r>
          </w:p>
        </w:tc>
      </w:tr>
      <w:tr>
        <w:tc>
          <w:tcPr>
            <w:tcW w:type="dxa" w:w="1700"/>
            <w:tcMar>
              <w:top w:w="100" w:type="dxa"/>
              <w:start w:w="130" w:type="dxa"/>
              <w:bottom w:w="100" w:type="dxa"/>
              <w:end w:w="130" w:type="dxa"/>
            </w:tcMar>
            <w:vAlign w:val="center"/>
          </w:tcPr>
          <w:p>
            <w:pPr>
              <w:spacing w:after="0" w:line="264" w:lineRule="auto"/>
            </w:pPr>
            <w:r>
              <w:rPr>
                <w:rFonts w:ascii="Calibri" w:hAnsi="Calibri"/>
                <w:b/>
                <w:i w:val="0"/>
                <w:color w:val="1F2930"/>
                <w:sz w:val="18"/>
              </w:rPr>
              <w:t>Admission Nurse</w:t>
            </w:r>
          </w:p>
        </w:tc>
        <w:tc>
          <w:tcPr>
            <w:tcW w:type="dxa" w:w="3000"/>
            <w:tcMar>
              <w:top w:w="100" w:type="dxa"/>
              <w:start w:w="130" w:type="dxa"/>
              <w:bottom w:w="100" w:type="dxa"/>
              <w:end w:w="130" w:type="dxa"/>
            </w:tcMar>
            <w:vAlign w:val="center"/>
          </w:tcPr>
          <w:p>
            <w:pPr>
              <w:spacing w:after="0" w:line="264" w:lineRule="auto"/>
            </w:pPr>
            <w:r>
              <w:rPr>
                <w:rFonts w:ascii="Calibri" w:hAnsi="Calibri"/>
                <w:b w:val="0"/>
                <w:i w:val="0"/>
                <w:color w:val="1F2930"/>
                <w:sz w:val="18"/>
              </w:rPr>
              <w:t>Create routine, time-sensitive orders</w:t>
            </w:r>
          </w:p>
        </w:tc>
        <w:tc>
          <w:tcPr>
            <w:tcW w:type="dxa" w:w="4660"/>
            <w:tcMar>
              <w:top w:w="100" w:type="dxa"/>
              <w:start w:w="130" w:type="dxa"/>
              <w:bottom w:w="100" w:type="dxa"/>
              <w:end w:w="130" w:type="dxa"/>
            </w:tcMar>
            <w:vAlign w:val="center"/>
          </w:tcPr>
          <w:p>
            <w:pPr>
              <w:spacing w:after="0" w:line="264" w:lineRule="auto"/>
            </w:pPr>
            <w:r>
              <w:rPr>
                <w:rFonts w:ascii="Calibri" w:hAnsi="Calibri"/>
                <w:b w:val="0"/>
                <w:i w:val="0"/>
                <w:color w:val="1F2930"/>
                <w:sz w:val="18"/>
              </w:rPr>
              <w:t>EHR pull, standing-order verification, duplicate disposition, preauthorization and draft cues</w:t>
            </w:r>
          </w:p>
        </w:tc>
      </w:tr>
      <w:tr>
        <w:tc>
          <w:tcPr>
            <w:tcW w:type="dxa" w:w="17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Charge Nurse</w:t>
            </w:r>
          </w:p>
        </w:tc>
        <w:tc>
          <w:tcPr>
            <w:tcW w:type="dxa" w:w="30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Manage team exceptions</w:t>
            </w:r>
          </w:p>
        </w:tc>
        <w:tc>
          <w:tcPr>
            <w:tcW w:type="dxa" w:w="46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First-level approvals, elevated-risk review and escalation</w:t>
            </w:r>
          </w:p>
        </w:tc>
      </w:tr>
      <w:tr>
        <w:tc>
          <w:tcPr>
            <w:tcW w:type="dxa" w:w="1700"/>
            <w:tcMar>
              <w:top w:w="100" w:type="dxa"/>
              <w:start w:w="130" w:type="dxa"/>
              <w:bottom w:w="100" w:type="dxa"/>
              <w:end w:w="130" w:type="dxa"/>
            </w:tcMar>
            <w:vAlign w:val="center"/>
          </w:tcPr>
          <w:p>
            <w:pPr>
              <w:spacing w:after="0" w:line="264" w:lineRule="auto"/>
            </w:pPr>
            <w:r>
              <w:rPr>
                <w:rFonts w:ascii="Calibri" w:hAnsi="Calibri"/>
                <w:b/>
                <w:i w:val="0"/>
                <w:color w:val="1F2930"/>
                <w:sz w:val="18"/>
              </w:rPr>
              <w:t>Director of Nursing</w:t>
            </w:r>
          </w:p>
        </w:tc>
        <w:tc>
          <w:tcPr>
            <w:tcW w:type="dxa" w:w="3000"/>
            <w:tcMar>
              <w:top w:w="100" w:type="dxa"/>
              <w:start w:w="130" w:type="dxa"/>
              <w:bottom w:w="100" w:type="dxa"/>
              <w:end w:w="130" w:type="dxa"/>
            </w:tcMar>
            <w:vAlign w:val="center"/>
          </w:tcPr>
          <w:p>
            <w:pPr>
              <w:spacing w:after="0" w:line="264" w:lineRule="auto"/>
            </w:pPr>
            <w:r>
              <w:rPr>
                <w:rFonts w:ascii="Calibri" w:hAnsi="Calibri"/>
                <w:b w:val="0"/>
                <w:i w:val="0"/>
                <w:color w:val="1F2930"/>
                <w:sz w:val="18"/>
              </w:rPr>
              <w:t>Govern clinical operations and vendor quality</w:t>
            </w:r>
          </w:p>
        </w:tc>
        <w:tc>
          <w:tcPr>
            <w:tcW w:type="dxa" w:w="4660"/>
            <w:tcMar>
              <w:top w:w="100" w:type="dxa"/>
              <w:start w:w="130" w:type="dxa"/>
              <w:bottom w:w="100" w:type="dxa"/>
              <w:end w:w="130" w:type="dxa"/>
            </w:tcMar>
            <w:vAlign w:val="center"/>
          </w:tcPr>
          <w:p>
            <w:pPr>
              <w:spacing w:after="0" w:line="264" w:lineRule="auto"/>
            </w:pPr>
            <w:r>
              <w:rPr>
                <w:rFonts w:ascii="Calibri" w:hAnsi="Calibri"/>
                <w:b w:val="0"/>
                <w:i w:val="0"/>
                <w:color w:val="1F2930"/>
                <w:sz w:val="18"/>
              </w:rPr>
              <w:t>Overrides, PSF recovery, benchmark trends, vendor quality and clinical reporting</w:t>
            </w:r>
          </w:p>
        </w:tc>
      </w:tr>
      <w:tr>
        <w:tc>
          <w:tcPr>
            <w:tcW w:type="dxa" w:w="17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Executive</w:t>
            </w:r>
          </w:p>
        </w:tc>
        <w:tc>
          <w:tcPr>
            <w:tcW w:type="dxa" w:w="30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Govern enterprise economics and network performance</w:t>
            </w:r>
          </w:p>
        </w:tc>
        <w:tc>
          <w:tcPr>
            <w:tcW w:type="dxa" w:w="46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Contribution margin, recovered revenue, long-stay exposure, archive and enterprise approval</w:t>
            </w:r>
          </w:p>
        </w:tc>
      </w:tr>
      <w:tr>
        <w:tc>
          <w:tcPr>
            <w:tcW w:type="dxa" w:w="1700"/>
            <w:tcMar>
              <w:top w:w="100" w:type="dxa"/>
              <w:start w:w="130" w:type="dxa"/>
              <w:bottom w:w="100" w:type="dxa"/>
              <w:end w:w="130" w:type="dxa"/>
            </w:tcMar>
            <w:vAlign w:val="center"/>
          </w:tcPr>
          <w:p>
            <w:pPr>
              <w:spacing w:after="0" w:line="264" w:lineRule="auto"/>
            </w:pPr>
            <w:r>
              <w:rPr>
                <w:rFonts w:ascii="Calibri" w:hAnsi="Calibri"/>
                <w:b/>
                <w:i w:val="0"/>
                <w:color w:val="1F2930"/>
                <w:sz w:val="18"/>
              </w:rPr>
              <w:t>Vendor</w:t>
            </w:r>
          </w:p>
        </w:tc>
        <w:tc>
          <w:tcPr>
            <w:tcW w:type="dxa" w:w="3000"/>
            <w:tcMar>
              <w:top w:w="100" w:type="dxa"/>
              <w:start w:w="130" w:type="dxa"/>
              <w:bottom w:w="100" w:type="dxa"/>
              <w:end w:w="130" w:type="dxa"/>
            </w:tcMar>
            <w:vAlign w:val="center"/>
          </w:tcPr>
          <w:p>
            <w:pPr>
              <w:spacing w:after="0" w:line="264" w:lineRule="auto"/>
            </w:pPr>
            <w:r>
              <w:rPr>
                <w:rFonts w:ascii="Calibri" w:hAnsi="Calibri"/>
                <w:b w:val="0"/>
                <w:i w:val="0"/>
                <w:color w:val="1F2930"/>
                <w:sz w:val="18"/>
              </w:rPr>
              <w:t>Execute assigned fulfillment</w:t>
            </w:r>
          </w:p>
        </w:tc>
        <w:tc>
          <w:tcPr>
            <w:tcW w:type="dxa" w:w="4660"/>
            <w:tcMar>
              <w:top w:w="100" w:type="dxa"/>
              <w:start w:w="130" w:type="dxa"/>
              <w:bottom w:w="100" w:type="dxa"/>
              <w:end w:w="130" w:type="dxa"/>
            </w:tcMar>
            <w:vAlign w:val="center"/>
          </w:tcPr>
          <w:p>
            <w:pPr>
              <w:spacing w:after="0" w:line="264" w:lineRule="auto"/>
            </w:pPr>
            <w:r>
              <w:rPr>
                <w:rFonts w:ascii="Calibri" w:hAnsi="Calibri"/>
                <w:b w:val="0"/>
                <w:i w:val="0"/>
                <w:color w:val="1F2930"/>
                <w:sz w:val="18"/>
              </w:rPr>
              <w:t>Scoped orders, ETA, proof, condition, pickup and enrollment data</w:t>
            </w:r>
          </w:p>
        </w:tc>
      </w:tr>
    </w:tbl>
    <w:p>
      <w:pPr>
        <w:spacing w:after="40"/>
      </w:pPr>
    </w:p>
    <w:p>
      <w:r>
        <w:br w:type="page"/>
      </w:r>
    </w:p>
    <w:p>
      <w:pPr>
        <w:keepLines/>
        <w:spacing w:before="0" w:after="80" w:line="240" w:lineRule="auto"/>
      </w:pPr>
      <w:r>
        <w:rPr>
          <w:rFonts w:ascii="Calibri" w:hAnsi="Calibri"/>
          <w:b/>
          <w:i w:val="0"/>
          <w:caps/>
          <w:color w:val="F66F61"/>
          <w:sz w:val="18"/>
        </w:rPr>
        <w:t>SECTION 03</w:t>
      </w:r>
    </w:p>
    <w:p>
      <w:pPr>
        <w:pStyle w:val="Heading1"/>
        <w:keepNext/>
      </w:pPr>
      <w:r>
        <w:t>Illustrative business case</w:t>
      </w:r>
    </w:p>
    <w:p>
      <w:pPr>
        <w:keepLines w:val="0"/>
        <w:spacing w:before="0" w:after="240" w:line="300" w:lineRule="auto"/>
      </w:pPr>
      <w:r>
        <w:rPr>
          <w:rFonts w:ascii="Calibri" w:hAnsi="Calibri"/>
          <w:b w:val="0"/>
          <w:i w:val="0"/>
          <w:color w:val="68757D"/>
          <w:sz w:val="23"/>
        </w:rPr>
        <w:t>The prototype demonstrates how operating events can become auditable financial measures; the values below are synthetic and must be replaced by pilot data.</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7E2"/>
          </w:tcPr>
          <w:p>
            <w:pPr>
              <w:spacing w:after="40" w:line="276" w:lineRule="auto"/>
            </w:pPr>
            <w:r>
              <w:rPr>
                <w:rFonts w:ascii="Calibri" w:hAnsi="Calibri"/>
                <w:b/>
                <w:i w:val="0"/>
                <w:color w:val="9B6A11"/>
                <w:sz w:val="17"/>
              </w:rPr>
              <w:t>IMPORTANT</w:t>
            </w:r>
          </w:p>
          <w:p>
            <w:pPr>
              <w:spacing w:after="0" w:line="288" w:lineRule="auto"/>
            </w:pPr>
            <w:r>
              <w:rPr>
                <w:rFonts w:ascii="Calibri" w:hAnsi="Calibri"/>
                <w:b/>
                <w:i w:val="0"/>
                <w:color w:val="1F2930"/>
                <w:sz w:val="22"/>
              </w:rPr>
              <w:t>All financial figures on this page are illustrative demo values, not validated BetterRX or hospice financial results. The methodology is the product; the pilot supplies the evidence.</w:t>
            </w:r>
          </w:p>
        </w:tc>
      </w:tr>
    </w:tbl>
    <w:p>
      <w:pPr>
        <w:spacing w:after="40"/>
      </w:pPr>
    </w:p>
    <w:p>
      <w:pPr>
        <w:pStyle w:val="Heading2"/>
        <w:keepNext/>
      </w:pPr>
      <w:r>
        <w:t>Contribution-margin view</w:t>
      </w:r>
    </w:p>
    <w:tbl>
      <w:tblPr>
        <w:tblStyle w:val="TableGrid"/>
        <w:tblW w:type="dxa" w:w="9360"/>
        <w:tblLayout w:type="fixed"/>
        <w:tblLook w:firstColumn="1" w:firstRow="1" w:lastColumn="0" w:lastRow="0" w:noHBand="0" w:noVBand="1" w:val="04A0"/>
        <w:jc w:val="left"/>
        <w:tblInd w:w="120" w:type="dxa"/>
      </w:tblPr>
      <w:tblGrid>
        <w:gridCol w:w="1500"/>
        <w:gridCol w:w="1900"/>
        <w:gridCol w:w="1900"/>
        <w:gridCol w:w="2500"/>
        <w:gridCol w:w="1560"/>
      </w:tblGrid>
      <w:tr>
        <w:trPr>
          <w:tblHeader w:val="true"/>
        </w:trPr>
        <w:tc>
          <w:tcPr>
            <w:tcW w:type="dxa" w:w="15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Period</w:t>
            </w:r>
          </w:p>
        </w:tc>
        <w:tc>
          <w:tcPr>
            <w:tcW w:type="dxa" w:w="19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Revenue</w:t>
            </w:r>
          </w:p>
        </w:tc>
        <w:tc>
          <w:tcPr>
            <w:tcW w:type="dxa" w:w="19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Direct DME cost</w:t>
            </w:r>
          </w:p>
        </w:tc>
        <w:tc>
          <w:tcPr>
            <w:tcW w:type="dxa" w:w="25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Contribution margin</w:t>
            </w:r>
          </w:p>
        </w:tc>
        <w:tc>
          <w:tcPr>
            <w:tcW w:type="dxa" w:w="156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CM %</w:t>
            </w:r>
          </w:p>
        </w:tc>
      </w:tr>
      <w:tr>
        <w:tc>
          <w:tcPr>
            <w:tcW w:type="dxa" w:w="1500"/>
            <w:tcMar>
              <w:top w:w="100" w:type="dxa"/>
              <w:start w:w="130" w:type="dxa"/>
              <w:bottom w:w="100" w:type="dxa"/>
              <w:end w:w="130" w:type="dxa"/>
            </w:tcMar>
            <w:vAlign w:val="center"/>
          </w:tcPr>
          <w:p>
            <w:pPr>
              <w:spacing w:after="0" w:line="264" w:lineRule="auto"/>
            </w:pPr>
            <w:r>
              <w:rPr>
                <w:rFonts w:ascii="Calibri" w:hAnsi="Calibri"/>
                <w:b/>
                <w:i w:val="0"/>
                <w:color w:val="1F2930"/>
                <w:sz w:val="18"/>
              </w:rPr>
              <w:t>Weekly</w:t>
            </w:r>
          </w:p>
        </w:tc>
        <w:tc>
          <w:tcPr>
            <w:tcW w:type="dxa" w:w="1900"/>
            <w:tcMar>
              <w:top w:w="100" w:type="dxa"/>
              <w:start w:w="130" w:type="dxa"/>
              <w:bottom w:w="100" w:type="dxa"/>
              <w:end w:w="130" w:type="dxa"/>
            </w:tcMar>
            <w:vAlign w:val="center"/>
          </w:tcPr>
          <w:p>
            <w:pPr>
              <w:spacing w:after="0" w:line="264" w:lineRule="auto"/>
            </w:pPr>
            <w:r>
              <w:rPr>
                <w:rFonts w:ascii="Calibri" w:hAnsi="Calibri"/>
                <w:b w:val="0"/>
                <w:i w:val="0"/>
                <w:color w:val="1F2930"/>
                <w:sz w:val="18"/>
              </w:rPr>
              <w:t>$164,250</w:t>
            </w:r>
          </w:p>
        </w:tc>
        <w:tc>
          <w:tcPr>
            <w:tcW w:type="dxa" w:w="1900"/>
            <w:tcMar>
              <w:top w:w="100" w:type="dxa"/>
              <w:start w:w="130" w:type="dxa"/>
              <w:bottom w:w="100" w:type="dxa"/>
              <w:end w:w="130" w:type="dxa"/>
            </w:tcMar>
            <w:vAlign w:val="center"/>
          </w:tcPr>
          <w:p>
            <w:pPr>
              <w:spacing w:after="0" w:line="264" w:lineRule="auto"/>
            </w:pPr>
            <w:r>
              <w:rPr>
                <w:rFonts w:ascii="Calibri" w:hAnsi="Calibri"/>
                <w:b w:val="0"/>
                <w:i w:val="0"/>
                <w:color w:val="1F2930"/>
                <w:sz w:val="18"/>
              </w:rPr>
              <w:t>$18,740</w:t>
            </w:r>
          </w:p>
        </w:tc>
        <w:tc>
          <w:tcPr>
            <w:tcW w:type="dxa" w:w="2500"/>
            <w:tcMar>
              <w:top w:w="100" w:type="dxa"/>
              <w:start w:w="130" w:type="dxa"/>
              <w:bottom w:w="100" w:type="dxa"/>
              <w:end w:w="130" w:type="dxa"/>
            </w:tcMar>
            <w:vAlign w:val="center"/>
          </w:tcPr>
          <w:p>
            <w:pPr>
              <w:spacing w:after="0" w:line="264" w:lineRule="auto"/>
            </w:pPr>
            <w:r>
              <w:rPr>
                <w:rFonts w:ascii="Calibri" w:hAnsi="Calibri"/>
                <w:b w:val="0"/>
                <w:i w:val="0"/>
                <w:color w:val="1F2930"/>
                <w:sz w:val="18"/>
              </w:rPr>
              <w:t>$145,510</w:t>
            </w:r>
          </w:p>
        </w:tc>
        <w:tc>
          <w:tcPr>
            <w:tcW w:type="dxa" w:w="1560"/>
            <w:tcMar>
              <w:top w:w="100" w:type="dxa"/>
              <w:start w:w="130" w:type="dxa"/>
              <w:bottom w:w="100" w:type="dxa"/>
              <w:end w:w="130" w:type="dxa"/>
            </w:tcMar>
            <w:vAlign w:val="center"/>
          </w:tcPr>
          <w:p>
            <w:pPr>
              <w:spacing w:after="0" w:line="264" w:lineRule="auto"/>
            </w:pPr>
            <w:r>
              <w:rPr>
                <w:rFonts w:ascii="Calibri" w:hAnsi="Calibri"/>
                <w:b w:val="0"/>
                <w:i w:val="0"/>
                <w:color w:val="1F2930"/>
                <w:sz w:val="18"/>
              </w:rPr>
              <w:t>88.6%</w:t>
            </w:r>
          </w:p>
        </w:tc>
      </w:tr>
      <w:tr>
        <w:tc>
          <w:tcPr>
            <w:tcW w:type="dxa" w:w="15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Monthly</w:t>
            </w:r>
          </w:p>
        </w:tc>
        <w:tc>
          <w:tcPr>
            <w:tcW w:type="dxa" w:w="19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$711,400</w:t>
            </w:r>
          </w:p>
        </w:tc>
        <w:tc>
          <w:tcPr>
            <w:tcW w:type="dxa" w:w="19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$82,460</w:t>
            </w:r>
          </w:p>
        </w:tc>
        <w:tc>
          <w:tcPr>
            <w:tcW w:type="dxa" w:w="25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$628,940</w:t>
            </w:r>
          </w:p>
        </w:tc>
        <w:tc>
          <w:tcPr>
            <w:tcW w:type="dxa" w:w="15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88.4%</w:t>
            </w:r>
          </w:p>
        </w:tc>
      </w:tr>
      <w:tr>
        <w:tc>
          <w:tcPr>
            <w:tcW w:type="dxa" w:w="1500"/>
            <w:tcMar>
              <w:top w:w="100" w:type="dxa"/>
              <w:start w:w="130" w:type="dxa"/>
              <w:bottom w:w="100" w:type="dxa"/>
              <w:end w:w="130" w:type="dxa"/>
            </w:tcMar>
            <w:vAlign w:val="center"/>
          </w:tcPr>
          <w:p>
            <w:pPr>
              <w:spacing w:after="0" w:line="264" w:lineRule="auto"/>
            </w:pPr>
            <w:r>
              <w:rPr>
                <w:rFonts w:ascii="Calibri" w:hAnsi="Calibri"/>
                <w:b/>
                <w:i w:val="0"/>
                <w:color w:val="1F2930"/>
                <w:sz w:val="18"/>
              </w:rPr>
              <w:t>Quarterly</w:t>
            </w:r>
          </w:p>
        </w:tc>
        <w:tc>
          <w:tcPr>
            <w:tcW w:type="dxa" w:w="1900"/>
            <w:tcMar>
              <w:top w:w="100" w:type="dxa"/>
              <w:start w:w="130" w:type="dxa"/>
              <w:bottom w:w="100" w:type="dxa"/>
              <w:end w:w="130" w:type="dxa"/>
            </w:tcMar>
            <w:vAlign w:val="center"/>
          </w:tcPr>
          <w:p>
            <w:pPr>
              <w:spacing w:after="0" w:line="264" w:lineRule="auto"/>
            </w:pPr>
            <w:r>
              <w:rPr>
                <w:rFonts w:ascii="Calibri" w:hAnsi="Calibri"/>
                <w:b w:val="0"/>
                <w:i w:val="0"/>
                <w:color w:val="1F2930"/>
                <w:sz w:val="18"/>
              </w:rPr>
              <w:t>$2,098,700</w:t>
            </w:r>
          </w:p>
        </w:tc>
        <w:tc>
          <w:tcPr>
            <w:tcW w:type="dxa" w:w="1900"/>
            <w:tcMar>
              <w:top w:w="100" w:type="dxa"/>
              <w:start w:w="130" w:type="dxa"/>
              <w:bottom w:w="100" w:type="dxa"/>
              <w:end w:w="130" w:type="dxa"/>
            </w:tcMar>
            <w:vAlign w:val="center"/>
          </w:tcPr>
          <w:p>
            <w:pPr>
              <w:spacing w:after="0" w:line="264" w:lineRule="auto"/>
            </w:pPr>
            <w:r>
              <w:rPr>
                <w:rFonts w:ascii="Calibri" w:hAnsi="Calibri"/>
                <w:b w:val="0"/>
                <w:i w:val="0"/>
                <w:color w:val="1F2930"/>
                <w:sz w:val="18"/>
              </w:rPr>
              <w:t>$246,900</w:t>
            </w:r>
          </w:p>
        </w:tc>
        <w:tc>
          <w:tcPr>
            <w:tcW w:type="dxa" w:w="2500"/>
            <w:tcMar>
              <w:top w:w="100" w:type="dxa"/>
              <w:start w:w="130" w:type="dxa"/>
              <w:bottom w:w="100" w:type="dxa"/>
              <w:end w:w="130" w:type="dxa"/>
            </w:tcMar>
            <w:vAlign w:val="center"/>
          </w:tcPr>
          <w:p>
            <w:pPr>
              <w:spacing w:after="0" w:line="264" w:lineRule="auto"/>
            </w:pPr>
            <w:r>
              <w:rPr>
                <w:rFonts w:ascii="Calibri" w:hAnsi="Calibri"/>
                <w:b w:val="0"/>
                <w:i w:val="0"/>
                <w:color w:val="1F2930"/>
                <w:sz w:val="18"/>
              </w:rPr>
              <w:t>$1,851,800</w:t>
            </w:r>
          </w:p>
        </w:tc>
        <w:tc>
          <w:tcPr>
            <w:tcW w:type="dxa" w:w="1560"/>
            <w:tcMar>
              <w:top w:w="100" w:type="dxa"/>
              <w:start w:w="130" w:type="dxa"/>
              <w:bottom w:w="100" w:type="dxa"/>
              <w:end w:w="130" w:type="dxa"/>
            </w:tcMar>
            <w:vAlign w:val="center"/>
          </w:tcPr>
          <w:p>
            <w:pPr>
              <w:spacing w:after="0" w:line="264" w:lineRule="auto"/>
            </w:pPr>
            <w:r>
              <w:rPr>
                <w:rFonts w:ascii="Calibri" w:hAnsi="Calibri"/>
                <w:b w:val="0"/>
                <w:i w:val="0"/>
                <w:color w:val="1F2930"/>
                <w:sz w:val="18"/>
              </w:rPr>
              <w:t>88.2%</w:t>
            </w:r>
          </w:p>
        </w:tc>
      </w:tr>
      <w:tr>
        <w:tc>
          <w:tcPr>
            <w:tcW w:type="dxa" w:w="15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Annual</w:t>
            </w:r>
          </w:p>
        </w:tc>
        <w:tc>
          <w:tcPr>
            <w:tcW w:type="dxa" w:w="19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$8,156,000</w:t>
            </w:r>
          </w:p>
        </w:tc>
        <w:tc>
          <w:tcPr>
            <w:tcW w:type="dxa" w:w="19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$971,300</w:t>
            </w:r>
          </w:p>
        </w:tc>
        <w:tc>
          <w:tcPr>
            <w:tcW w:type="dxa" w:w="25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$7,184,700</w:t>
            </w:r>
          </w:p>
        </w:tc>
        <w:tc>
          <w:tcPr>
            <w:tcW w:type="dxa" w:w="15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88.1%</w:t>
            </w:r>
          </w:p>
        </w:tc>
      </w:tr>
    </w:tbl>
    <w:p>
      <w:pPr>
        <w:spacing w:after="40"/>
      </w:pPr>
    </w:p>
    <w:p>
      <w:pPr>
        <w:keepLines w:val="0"/>
        <w:spacing w:before="0" w:after="200" w:line="320" w:lineRule="auto"/>
      </w:pPr>
      <w:r>
        <w:rPr>
          <w:rFonts w:ascii="Calibri" w:hAnsi="Calibri"/>
          <w:b w:val="0"/>
          <w:i/>
          <w:color w:val="68757D"/>
          <w:sz w:val="19"/>
        </w:rPr>
        <w:t>Formula: Contribution Margin = Revenue - Direct DME Cost. The prototype intentionally excludes other variable costs; the pilot should add them before the measure is used as a final operating margin.</w:t>
      </w:r>
    </w:p>
    <w:p>
      <w:pPr>
        <w:pStyle w:val="Heading2"/>
        <w:keepNext/>
      </w:pPr>
      <w:r>
        <w:t>Service-recovery snapshot</w:t>
      </w:r>
    </w:p>
    <w:tbl>
      <w:tblPr>
        <w:tblStyle w:val="TableGrid"/>
        <w:tblW w:type="dxa" w:w="9360"/>
        <w:tblLayout w:type="fixed"/>
        <w:tblLook w:firstColumn="1" w:firstRow="1" w:lastColumn="0" w:lastRow="0" w:noHBand="0" w:noVBand="1" w:val="04A0"/>
        <w:jc w:val="left"/>
        <w:tblInd w:w="120" w:type="dxa"/>
      </w:tblPr>
      <w:tblGrid>
        <w:gridCol w:w="2600"/>
        <w:gridCol w:w="2100"/>
        <w:gridCol w:w="4660"/>
      </w:tblGrid>
      <w:tr>
        <w:trPr>
          <w:tblHeader w:val="true"/>
        </w:trPr>
        <w:tc>
          <w:tcPr>
            <w:tcW w:type="dxa" w:w="260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Measure</w:t>
            </w:r>
          </w:p>
        </w:tc>
        <w:tc>
          <w:tcPr>
            <w:tcW w:type="dxa" w:w="210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Illustrative value</w:t>
            </w:r>
          </w:p>
        </w:tc>
        <w:tc>
          <w:tcPr>
            <w:tcW w:type="dxa" w:w="466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Method</w:t>
            </w:r>
          </w:p>
        </w:tc>
      </w:tr>
      <w:tr>
        <w:tc>
          <w:tcPr>
            <w:tcW w:type="dxa" w:w="2600"/>
            <w:tcMar>
              <w:top w:w="100" w:type="dxa"/>
              <w:start w:w="130" w:type="dxa"/>
              <w:bottom w:w="100" w:type="dxa"/>
              <w:end w:w="130" w:type="dxa"/>
            </w:tcMar>
            <w:vAlign w:val="center"/>
          </w:tcPr>
          <w:p>
            <w:pPr>
              <w:spacing w:after="0" w:line="264" w:lineRule="auto"/>
            </w:pPr>
            <w:r>
              <w:rPr>
                <w:rFonts w:ascii="Calibri" w:hAnsi="Calibri"/>
                <w:b/>
                <w:i w:val="0"/>
                <w:color w:val="1F2930"/>
                <w:sz w:val="18"/>
              </w:rPr>
              <w:t>Confirmed PSFs</w:t>
            </w:r>
          </w:p>
        </w:tc>
        <w:tc>
          <w:tcPr>
            <w:tcW w:type="dxa" w:w="2100"/>
            <w:tcMar>
              <w:top w:w="100" w:type="dxa"/>
              <w:start w:w="130" w:type="dxa"/>
              <w:bottom w:w="100" w:type="dxa"/>
              <w:end w:w="130" w:type="dxa"/>
            </w:tcMar>
            <w:vAlign w:val="center"/>
          </w:tcPr>
          <w:p>
            <w:pPr>
              <w:spacing w:after="0" w:line="264" w:lineRule="auto"/>
            </w:pPr>
            <w:r>
              <w:rPr>
                <w:rFonts w:ascii="Calibri" w:hAnsi="Calibri"/>
                <w:b w:val="0"/>
                <w:i w:val="0"/>
                <w:color w:val="1F2930"/>
                <w:sz w:val="18"/>
              </w:rPr>
              <w:t>4</w:t>
            </w:r>
          </w:p>
        </w:tc>
        <w:tc>
          <w:tcPr>
            <w:tcW w:type="dxa" w:w="4660"/>
            <w:tcMar>
              <w:top w:w="100" w:type="dxa"/>
              <w:start w:w="130" w:type="dxa"/>
              <w:bottom w:w="100" w:type="dxa"/>
              <w:end w:w="130" w:type="dxa"/>
            </w:tcMar>
            <w:vAlign w:val="center"/>
          </w:tcPr>
          <w:p>
            <w:pPr>
              <w:spacing w:after="0" w:line="264" w:lineRule="auto"/>
            </w:pPr>
            <w:r>
              <w:rPr>
                <w:rFonts w:ascii="Calibri" w:hAnsi="Calibri"/>
                <w:b w:val="0"/>
                <w:i w:val="0"/>
                <w:color w:val="1F2930"/>
                <w:sz w:val="18"/>
              </w:rPr>
              <w:t>Count of cases meeting the preventability definition</w:t>
            </w:r>
          </w:p>
        </w:tc>
      </w:tr>
      <w:tr>
        <w:tc>
          <w:tcPr>
            <w:tcW w:type="dxa" w:w="26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PSF recoveries</w:t>
            </w:r>
          </w:p>
        </w:tc>
        <w:tc>
          <w:tcPr>
            <w:tcW w:type="dxa" w:w="21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2</w:t>
            </w:r>
          </w:p>
        </w:tc>
        <w:tc>
          <w:tcPr>
            <w:tcW w:type="dxa" w:w="46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Cases closed with verified recovery evidence</w:t>
            </w:r>
          </w:p>
        </w:tc>
      </w:tr>
      <w:tr>
        <w:tc>
          <w:tcPr>
            <w:tcW w:type="dxa" w:w="2600"/>
            <w:tcMar>
              <w:top w:w="100" w:type="dxa"/>
              <w:start w:w="130" w:type="dxa"/>
              <w:bottom w:w="100" w:type="dxa"/>
              <w:end w:w="130" w:type="dxa"/>
            </w:tcMar>
            <w:vAlign w:val="center"/>
          </w:tcPr>
          <w:p>
            <w:pPr>
              <w:spacing w:after="0" w:line="264" w:lineRule="auto"/>
            </w:pPr>
            <w:r>
              <w:rPr>
                <w:rFonts w:ascii="Calibri" w:hAnsi="Calibri"/>
                <w:b/>
                <w:i w:val="0"/>
                <w:color w:val="1F2930"/>
                <w:sz w:val="18"/>
              </w:rPr>
              <w:t>Revenue recovered</w:t>
            </w:r>
          </w:p>
        </w:tc>
        <w:tc>
          <w:tcPr>
            <w:tcW w:type="dxa" w:w="2100"/>
            <w:tcMar>
              <w:top w:w="100" w:type="dxa"/>
              <w:start w:w="130" w:type="dxa"/>
              <w:bottom w:w="100" w:type="dxa"/>
              <w:end w:w="130" w:type="dxa"/>
            </w:tcMar>
            <w:vAlign w:val="center"/>
          </w:tcPr>
          <w:p>
            <w:pPr>
              <w:spacing w:after="0" w:line="264" w:lineRule="auto"/>
            </w:pPr>
            <w:r>
              <w:rPr>
                <w:rFonts w:ascii="Calibri" w:hAnsi="Calibri"/>
                <w:b w:val="0"/>
                <w:i w:val="0"/>
                <w:color w:val="1F2930"/>
                <w:sz w:val="18"/>
              </w:rPr>
              <w:t>$1,840</w:t>
            </w:r>
          </w:p>
        </w:tc>
        <w:tc>
          <w:tcPr>
            <w:tcW w:type="dxa" w:w="4660"/>
            <w:tcMar>
              <w:top w:w="100" w:type="dxa"/>
              <w:start w:w="130" w:type="dxa"/>
              <w:bottom w:w="100" w:type="dxa"/>
              <w:end w:w="130" w:type="dxa"/>
            </w:tcMar>
            <w:vAlign w:val="center"/>
          </w:tcPr>
          <w:p>
            <w:pPr>
              <w:spacing w:after="0" w:line="264" w:lineRule="auto"/>
            </w:pPr>
            <w:r>
              <w:rPr>
                <w:rFonts w:ascii="Calibri" w:hAnsi="Calibri"/>
                <w:b w:val="0"/>
                <w:i w:val="0"/>
                <w:color w:val="1F2930"/>
                <w:sz w:val="18"/>
              </w:rPr>
              <w:t>Sum of verified, non-duplicated recovery amounts</w:t>
            </w:r>
          </w:p>
        </w:tc>
      </w:tr>
      <w:tr>
        <w:tc>
          <w:tcPr>
            <w:tcW w:type="dxa" w:w="26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Open revenue exposure</w:t>
            </w:r>
          </w:p>
        </w:tc>
        <w:tc>
          <w:tcPr>
            <w:tcW w:type="dxa" w:w="21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$2,260</w:t>
            </w:r>
          </w:p>
        </w:tc>
        <w:tc>
          <w:tcPr>
            <w:tcW w:type="dxa" w:w="46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Revenue at risk on PSFs not yet recovered</w:t>
            </w:r>
          </w:p>
        </w:tc>
      </w:tr>
      <w:tr>
        <w:tc>
          <w:tcPr>
            <w:tcW w:type="dxa" w:w="2600"/>
            <w:tcMar>
              <w:top w:w="100" w:type="dxa"/>
              <w:start w:w="130" w:type="dxa"/>
              <w:bottom w:w="100" w:type="dxa"/>
              <w:end w:w="130" w:type="dxa"/>
            </w:tcMar>
            <w:vAlign w:val="center"/>
          </w:tcPr>
          <w:p>
            <w:pPr>
              <w:spacing w:after="0" w:line="264" w:lineRule="auto"/>
            </w:pPr>
            <w:r>
              <w:rPr>
                <w:rFonts w:ascii="Calibri" w:hAnsi="Calibri"/>
                <w:b/>
                <w:i w:val="0"/>
                <w:color w:val="1F2930"/>
                <w:sz w:val="18"/>
              </w:rPr>
              <w:t>Vendor benchmark trend</w:t>
            </w:r>
          </w:p>
        </w:tc>
        <w:tc>
          <w:tcPr>
            <w:tcW w:type="dxa" w:w="2100"/>
            <w:tcMar>
              <w:top w:w="100" w:type="dxa"/>
              <w:start w:w="130" w:type="dxa"/>
              <w:bottom w:w="100" w:type="dxa"/>
              <w:end w:w="130" w:type="dxa"/>
            </w:tcMar>
            <w:vAlign w:val="center"/>
          </w:tcPr>
          <w:p>
            <w:pPr>
              <w:spacing w:after="0" w:line="264" w:lineRule="auto"/>
            </w:pPr>
            <w:r>
              <w:rPr>
                <w:rFonts w:ascii="Calibri" w:hAnsi="Calibri"/>
                <w:b w:val="0"/>
                <w:i w:val="0"/>
                <w:color w:val="1F2930"/>
                <w:sz w:val="18"/>
              </w:rPr>
              <w:t>Summit +23.9%; ABC +11.1%</w:t>
            </w:r>
          </w:p>
        </w:tc>
        <w:tc>
          <w:tcPr>
            <w:tcW w:type="dxa" w:w="4660"/>
            <w:tcMar>
              <w:top w:w="100" w:type="dxa"/>
              <w:start w:w="130" w:type="dxa"/>
              <w:bottom w:w="100" w:type="dxa"/>
              <w:end w:w="130" w:type="dxa"/>
            </w:tcMar>
            <w:vAlign w:val="center"/>
          </w:tcPr>
          <w:p>
            <w:pPr>
              <w:spacing w:after="0" w:line="264" w:lineRule="auto"/>
            </w:pPr>
            <w:r>
              <w:rPr>
                <w:rFonts w:ascii="Calibri" w:hAnsi="Calibri"/>
                <w:b w:val="0"/>
                <w:i w:val="0"/>
                <w:color w:val="1F2930"/>
                <w:sz w:val="18"/>
              </w:rPr>
              <w:t>Actual DME cost versus CMS/local benchmark</w:t>
            </w:r>
          </w:p>
        </w:tc>
      </w:tr>
    </w:tbl>
    <w:p>
      <w:pPr>
        <w:spacing w:after="40"/>
      </w:pPr>
    </w:p>
    <w:p>
      <w:pPr>
        <w:pStyle w:val="Heading2"/>
        <w:keepNext/>
      </w:pPr>
      <w:r>
        <w:t>Value levers to validate</w:t>
      </w:r>
    </w:p>
    <w:p>
      <w:pPr>
        <w:pStyle w:val="ListBullet"/>
        <w:spacing w:after="80" w:line="290" w:lineRule="auto"/>
        <w:ind w:left="540" w:hanging="279"/>
      </w:pPr>
      <w:r>
        <w:rPr>
          <w:rFonts w:ascii="Calibri" w:hAnsi="Calibri"/>
          <w:b w:val="0"/>
          <w:i w:val="0"/>
          <w:color w:val="1F2930"/>
          <w:sz w:val="22"/>
        </w:rPr>
        <w:t>Avoided duplicate and clinically unnecessary equipment expense.</w:t>
      </w:r>
    </w:p>
    <w:p>
      <w:pPr>
        <w:pStyle w:val="ListBullet"/>
        <w:spacing w:after="80" w:line="290" w:lineRule="auto"/>
        <w:ind w:left="540" w:hanging="279"/>
      </w:pPr>
      <w:r>
        <w:rPr>
          <w:rFonts w:ascii="Calibri" w:hAnsi="Calibri"/>
          <w:b w:val="0"/>
          <w:i w:val="0"/>
          <w:color w:val="1F2930"/>
          <w:sz w:val="22"/>
        </w:rPr>
        <w:t>Reduced excess rental days through visible pickup ownership and ETA tracking.</w:t>
      </w:r>
    </w:p>
    <w:p>
      <w:pPr>
        <w:pStyle w:val="ListBullet"/>
        <w:spacing w:after="80" w:line="290" w:lineRule="auto"/>
        <w:ind w:left="540" w:hanging="279"/>
      </w:pPr>
      <w:r>
        <w:rPr>
          <w:rFonts w:ascii="Calibri" w:hAnsi="Calibri"/>
          <w:b w:val="0"/>
          <w:i w:val="0"/>
          <w:color w:val="1F2930"/>
          <w:sz w:val="22"/>
        </w:rPr>
        <w:t>Lower labor time spent on order status, vendor calls and exception reconstruction.</w:t>
      </w:r>
    </w:p>
    <w:p>
      <w:pPr>
        <w:pStyle w:val="ListBullet"/>
        <w:spacing w:after="80" w:line="290" w:lineRule="auto"/>
        <w:ind w:left="540" w:hanging="279"/>
      </w:pPr>
      <w:r>
        <w:rPr>
          <w:rFonts w:ascii="Calibri" w:hAnsi="Calibri"/>
          <w:b w:val="0"/>
          <w:i w:val="0"/>
          <w:color w:val="1F2930"/>
          <w:sz w:val="22"/>
        </w:rPr>
        <w:t>Recovered revenue, credits or prevented loss from documented PSF resolution.</w:t>
      </w:r>
    </w:p>
    <w:p>
      <w:pPr>
        <w:pStyle w:val="ListBullet"/>
        <w:spacing w:after="80" w:line="290" w:lineRule="auto"/>
        <w:ind w:left="540" w:hanging="279"/>
      </w:pPr>
      <w:r>
        <w:rPr>
          <w:rFonts w:ascii="Calibri" w:hAnsi="Calibri"/>
          <w:b w:val="0"/>
          <w:i w:val="0"/>
          <w:color w:val="1F2930"/>
          <w:sz w:val="22"/>
        </w:rPr>
        <w:t>Improved contribution margin from vendor benchmark control and earlier intervention.</w:t>
      </w:r>
    </w:p>
    <w:p>
      <w:r>
        <w:br w:type="page"/>
      </w:r>
    </w:p>
    <w:p>
      <w:pPr>
        <w:keepLines/>
        <w:spacing w:before="0" w:after="80" w:line="240" w:lineRule="auto"/>
      </w:pPr>
      <w:r>
        <w:rPr>
          <w:rFonts w:ascii="Calibri" w:hAnsi="Calibri"/>
          <w:b/>
          <w:i w:val="0"/>
          <w:caps/>
          <w:color w:val="F66F61"/>
          <w:sz w:val="18"/>
        </w:rPr>
        <w:t>SECTION 04</w:t>
      </w:r>
    </w:p>
    <w:p>
      <w:pPr>
        <w:pStyle w:val="Heading1"/>
        <w:keepNext/>
      </w:pPr>
      <w:r>
        <w:t>Methodology principles</w:t>
      </w:r>
    </w:p>
    <w:p>
      <w:pPr>
        <w:keepLines w:val="0"/>
        <w:spacing w:before="0" w:after="240" w:line="300" w:lineRule="auto"/>
      </w:pPr>
      <w:r>
        <w:rPr>
          <w:rFonts w:ascii="Calibri" w:hAnsi="Calibri"/>
          <w:b w:val="0"/>
          <w:i w:val="0"/>
          <w:color w:val="68757D"/>
          <w:sz w:val="23"/>
        </w:rPr>
        <w:t>The methodology is designed to be deterministic enough to govern, flexible enough to learn and explicit enough to audit.</w:t>
      </w:r>
    </w:p>
    <w:tbl>
      <w:tblPr>
        <w:tblStyle w:val="TableGrid"/>
        <w:tblW w:type="dxa" w:w="9360"/>
        <w:tblLayout w:type="fixed"/>
        <w:tblLook w:firstColumn="1" w:firstRow="1" w:lastColumn="0" w:lastRow="0" w:noHBand="0" w:noVBand="1" w:val="04A0"/>
        <w:jc w:val="left"/>
        <w:tblInd w:w="120" w:type="dxa"/>
      </w:tblPr>
      <w:tblGrid>
        <w:gridCol w:w="2100"/>
        <w:gridCol w:w="3900"/>
        <w:gridCol w:w="3360"/>
      </w:tblGrid>
      <w:tr>
        <w:trPr>
          <w:tblHeader w:val="true"/>
        </w:trPr>
        <w:tc>
          <w:tcPr>
            <w:tcW w:type="dxa" w:w="21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Principle</w:t>
            </w:r>
          </w:p>
        </w:tc>
        <w:tc>
          <w:tcPr>
            <w:tcW w:type="dxa" w:w="39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Application</w:t>
            </w:r>
          </w:p>
        </w:tc>
        <w:tc>
          <w:tcPr>
            <w:tcW w:type="dxa" w:w="336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Why it matters</w:t>
            </w:r>
          </w:p>
        </w:tc>
      </w:tr>
      <w:tr>
        <w:tc>
          <w:tcPr>
            <w:tcW w:type="dxa" w:w="2100"/>
            <w:tcMar>
              <w:top w:w="100" w:type="dxa"/>
              <w:start w:w="130" w:type="dxa"/>
              <w:bottom w:w="100" w:type="dxa"/>
              <w:end w:w="130" w:type="dxa"/>
            </w:tcMar>
            <w:vAlign w:val="center"/>
          </w:tcPr>
          <w:p>
            <w:pPr>
              <w:spacing w:after="0" w:line="264" w:lineRule="auto"/>
            </w:pPr>
            <w:r>
              <w:rPr>
                <w:rFonts w:ascii="Calibri" w:hAnsi="Calibri"/>
                <w:b/>
                <w:i w:val="0"/>
                <w:color w:val="1F2930"/>
                <w:sz w:val="17"/>
              </w:rPr>
              <w:t>Eligibility before ranking</w:t>
            </w:r>
          </w:p>
        </w:tc>
        <w:tc>
          <w:tcPr>
            <w:tcW w:type="dxa" w:w="3900"/>
            <w:tcMar>
              <w:top w:w="100" w:type="dxa"/>
              <w:start w:w="130" w:type="dxa"/>
              <w:bottom w:w="100" w:type="dxa"/>
              <w:end w:w="130" w:type="dxa"/>
            </w:tcMar>
            <w:vAlign w:val="center"/>
          </w:tcPr>
          <w:p>
            <w:pPr>
              <w:spacing w:after="0" w:line="264" w:lineRule="auto"/>
            </w:pPr>
            <w:r>
              <w:rPr>
                <w:rFonts w:ascii="Calibri" w:hAnsi="Calibri"/>
                <w:b w:val="0"/>
                <w:i w:val="0"/>
                <w:color w:val="1F2930"/>
                <w:sz w:val="17"/>
              </w:rPr>
              <w:t>Service area, equipment category, dispatch coverage and required credentials are gates</w:t>
            </w:r>
          </w:p>
        </w:tc>
        <w:tc>
          <w:tcPr>
            <w:tcW w:type="dxa" w:w="3360"/>
            <w:tcMar>
              <w:top w:w="100" w:type="dxa"/>
              <w:start w:w="130" w:type="dxa"/>
              <w:bottom w:w="100" w:type="dxa"/>
              <w:end w:w="130" w:type="dxa"/>
            </w:tcMar>
            <w:vAlign w:val="center"/>
          </w:tcPr>
          <w:p>
            <w:pPr>
              <w:spacing w:after="0" w:line="264" w:lineRule="auto"/>
            </w:pPr>
            <w:r>
              <w:rPr>
                <w:rFonts w:ascii="Calibri" w:hAnsi="Calibri"/>
                <w:b w:val="0"/>
                <w:i w:val="0"/>
                <w:color w:val="1F2930"/>
                <w:sz w:val="17"/>
              </w:rPr>
              <w:t>An ineligible vendor cannot outrank an eligible vendor</w:t>
            </w:r>
          </w:p>
        </w:tc>
      </w:tr>
      <w:tr>
        <w:tc>
          <w:tcPr>
            <w:tcW w:type="dxa" w:w="21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Order-specific risk</w:t>
            </w:r>
          </w:p>
        </w:tc>
        <w:tc>
          <w:tcPr>
            <w:tcW w:type="dxa" w:w="39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Item mix, requested timeline, history and active disruption are evaluated together</w:t>
            </w:r>
          </w:p>
        </w:tc>
        <w:tc>
          <w:tcPr>
            <w:tcW w:type="dxa" w:w="33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A vendor is not universally low- or high-risk</w:t>
            </w:r>
          </w:p>
        </w:tc>
      </w:tr>
      <w:tr>
        <w:tc>
          <w:tcPr>
            <w:tcW w:type="dxa" w:w="2100"/>
            <w:tcMar>
              <w:top w:w="100" w:type="dxa"/>
              <w:start w:w="130" w:type="dxa"/>
              <w:bottom w:w="100" w:type="dxa"/>
              <w:end w:w="130" w:type="dxa"/>
            </w:tcMar>
            <w:vAlign w:val="center"/>
          </w:tcPr>
          <w:p>
            <w:pPr>
              <w:spacing w:after="0" w:line="264" w:lineRule="auto"/>
            </w:pPr>
            <w:r>
              <w:rPr>
                <w:rFonts w:ascii="Calibri" w:hAnsi="Calibri"/>
                <w:b/>
                <w:i w:val="0"/>
                <w:color w:val="1F2930"/>
                <w:sz w:val="17"/>
              </w:rPr>
              <w:t>Human confirmation for critical conditions</w:t>
            </w:r>
          </w:p>
        </w:tc>
        <w:tc>
          <w:tcPr>
            <w:tcW w:type="dxa" w:w="3900"/>
            <w:tcMar>
              <w:top w:w="100" w:type="dxa"/>
              <w:start w:w="130" w:type="dxa"/>
              <w:bottom w:w="100" w:type="dxa"/>
              <w:end w:w="130" w:type="dxa"/>
            </w:tcMar>
            <w:vAlign w:val="center"/>
          </w:tcPr>
          <w:p>
            <w:pPr>
              <w:spacing w:after="0" w:line="264" w:lineRule="auto"/>
            </w:pPr>
            <w:r>
              <w:rPr>
                <w:rFonts w:ascii="Calibri" w:hAnsi="Calibri"/>
                <w:b w:val="0"/>
                <w:i w:val="0"/>
                <w:color w:val="1F2930"/>
                <w:sz w:val="17"/>
              </w:rPr>
              <w:t>Any severe weather or disaster event requires confirmation for under-eight-hour orders, regardless of risk score</w:t>
            </w:r>
          </w:p>
        </w:tc>
        <w:tc>
          <w:tcPr>
            <w:tcW w:type="dxa" w:w="3360"/>
            <w:tcMar>
              <w:top w:w="100" w:type="dxa"/>
              <w:start w:w="130" w:type="dxa"/>
              <w:bottom w:w="100" w:type="dxa"/>
              <w:end w:w="130" w:type="dxa"/>
            </w:tcMar>
            <w:vAlign w:val="center"/>
          </w:tcPr>
          <w:p>
            <w:pPr>
              <w:spacing w:after="0" w:line="264" w:lineRule="auto"/>
            </w:pPr>
            <w:r>
              <w:rPr>
                <w:rFonts w:ascii="Calibri" w:hAnsi="Calibri"/>
                <w:b w:val="0"/>
                <w:i w:val="0"/>
                <w:color w:val="1F2930"/>
                <w:sz w:val="17"/>
              </w:rPr>
              <w:t>A score never overrides an active operational hazard</w:t>
            </w:r>
          </w:p>
        </w:tc>
      </w:tr>
      <w:tr>
        <w:tc>
          <w:tcPr>
            <w:tcW w:type="dxa" w:w="21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Evidence over narrative</w:t>
            </w:r>
          </w:p>
        </w:tc>
        <w:tc>
          <w:tcPr>
            <w:tcW w:type="dxa" w:w="39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Proof, attestation, timestamps, messages and recovery documents remain attached to the order</w:t>
            </w:r>
          </w:p>
        </w:tc>
        <w:tc>
          <w:tcPr>
            <w:tcW w:type="dxa" w:w="33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Judgments can be reconstructed</w:t>
            </w:r>
          </w:p>
        </w:tc>
      </w:tr>
      <w:tr>
        <w:tc>
          <w:tcPr>
            <w:tcW w:type="dxa" w:w="2100"/>
            <w:tcMar>
              <w:top w:w="100" w:type="dxa"/>
              <w:start w:w="130" w:type="dxa"/>
              <w:bottom w:w="100" w:type="dxa"/>
              <w:end w:w="130" w:type="dxa"/>
            </w:tcMar>
            <w:vAlign w:val="center"/>
          </w:tcPr>
          <w:p>
            <w:pPr>
              <w:spacing w:after="0" w:line="264" w:lineRule="auto"/>
            </w:pPr>
            <w:r>
              <w:rPr>
                <w:rFonts w:ascii="Calibri" w:hAnsi="Calibri"/>
                <w:b/>
                <w:i w:val="0"/>
                <w:color w:val="1F2930"/>
                <w:sz w:val="17"/>
              </w:rPr>
              <w:t>No double counting</w:t>
            </w:r>
          </w:p>
        </w:tc>
        <w:tc>
          <w:tcPr>
            <w:tcW w:type="dxa" w:w="3900"/>
            <w:tcMar>
              <w:top w:w="100" w:type="dxa"/>
              <w:start w:w="130" w:type="dxa"/>
              <w:bottom w:w="100" w:type="dxa"/>
              <w:end w:w="130" w:type="dxa"/>
            </w:tcMar>
            <w:vAlign w:val="center"/>
          </w:tcPr>
          <w:p>
            <w:pPr>
              <w:spacing w:after="0" w:line="264" w:lineRule="auto"/>
            </w:pPr>
            <w:r>
              <w:rPr>
                <w:rFonts w:ascii="Calibri" w:hAnsi="Calibri"/>
                <w:b w:val="0"/>
                <w:i w:val="0"/>
                <w:color w:val="1F2930"/>
                <w:sz w:val="17"/>
              </w:rPr>
              <w:t>One recovery or avoided cost is credited once to one case and reporting period</w:t>
            </w:r>
          </w:p>
        </w:tc>
        <w:tc>
          <w:tcPr>
            <w:tcW w:type="dxa" w:w="3360"/>
            <w:tcMar>
              <w:top w:w="100" w:type="dxa"/>
              <w:start w:w="130" w:type="dxa"/>
              <w:bottom w:w="100" w:type="dxa"/>
              <w:end w:w="130" w:type="dxa"/>
            </w:tcMar>
            <w:vAlign w:val="center"/>
          </w:tcPr>
          <w:p>
            <w:pPr>
              <w:spacing w:after="0" w:line="264" w:lineRule="auto"/>
            </w:pPr>
            <w:r>
              <w:rPr>
                <w:rFonts w:ascii="Calibri" w:hAnsi="Calibri"/>
                <w:b w:val="0"/>
                <w:i w:val="0"/>
                <w:color w:val="1F2930"/>
                <w:sz w:val="17"/>
              </w:rPr>
              <w:t>Financial claims remain defensible</w:t>
            </w:r>
          </w:p>
        </w:tc>
      </w:tr>
      <w:tr>
        <w:tc>
          <w:tcPr>
            <w:tcW w:type="dxa" w:w="21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Role-based authority</w:t>
            </w:r>
          </w:p>
        </w:tc>
        <w:tc>
          <w:tcPr>
            <w:tcW w:type="dxa" w:w="39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Admission, Charge, DON and Executive permissions change workflow and approvals</w:t>
            </w:r>
          </w:p>
        </w:tc>
        <w:tc>
          <w:tcPr>
            <w:tcW w:type="dxa" w:w="33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Control follows responsibility</w:t>
            </w:r>
          </w:p>
        </w:tc>
      </w:tr>
    </w:tbl>
    <w:p>
      <w:pPr>
        <w:spacing w:after="40"/>
      </w:pPr>
    </w:p>
    <w:p>
      <w:pPr>
        <w:pStyle w:val="Heading2"/>
        <w:keepNext/>
      </w:pPr>
      <w:r>
        <w:t>Evidence hierarchy</w:t>
      </w:r>
    </w:p>
    <w:p>
      <w:pPr>
        <w:pStyle w:val="ListNumber"/>
        <w:spacing w:after="80" w:line="290" w:lineRule="auto"/>
        <w:ind w:left="540" w:hanging="279"/>
      </w:pPr>
      <w:r>
        <w:rPr>
          <w:rFonts w:ascii="Calibri" w:hAnsi="Calibri"/>
          <w:b w:val="0"/>
          <w:i w:val="0"/>
          <w:color w:val="1F2930"/>
          <w:sz w:val="22"/>
        </w:rPr>
        <w:t>Level 1 - System event: timestamped order, dispatch, delivery, acknowledgment or pickup event.</w:t>
      </w:r>
    </w:p>
    <w:p>
      <w:pPr>
        <w:pStyle w:val="ListNumber"/>
        <w:spacing w:after="80" w:line="290" w:lineRule="auto"/>
        <w:ind w:left="540" w:hanging="279"/>
      </w:pPr>
      <w:r>
        <w:rPr>
          <w:rFonts w:ascii="Calibri" w:hAnsi="Calibri"/>
          <w:b w:val="0"/>
          <w:i w:val="0"/>
          <w:color w:val="1F2930"/>
          <w:sz w:val="22"/>
        </w:rPr>
        <w:t>Level 2 - Verified artifact: proof of delivery, condition attestation, vendor confirmation or billing record.</w:t>
      </w:r>
    </w:p>
    <w:p>
      <w:pPr>
        <w:pStyle w:val="ListNumber"/>
        <w:spacing w:after="80" w:line="290" w:lineRule="auto"/>
        <w:ind w:left="540" w:hanging="279"/>
      </w:pPr>
      <w:r>
        <w:rPr>
          <w:rFonts w:ascii="Calibri" w:hAnsi="Calibri"/>
          <w:b w:val="0"/>
          <w:i w:val="0"/>
          <w:color w:val="1F2930"/>
          <w:sz w:val="22"/>
        </w:rPr>
        <w:t>Level 3 - Reconciled financial record: credit, reversal, preserved claim or avoided direct expense.</w:t>
      </w:r>
    </w:p>
    <w:p>
      <w:pPr>
        <w:pStyle w:val="ListNumber"/>
        <w:spacing w:after="80" w:line="290" w:lineRule="auto"/>
        <w:ind w:left="540" w:hanging="279"/>
      </w:pPr>
      <w:r>
        <w:rPr>
          <w:rFonts w:ascii="Calibri" w:hAnsi="Calibri"/>
          <w:b w:val="0"/>
          <w:i w:val="0"/>
          <w:color w:val="1F2930"/>
          <w:sz w:val="22"/>
        </w:rPr>
        <w:t>Level 4 - Analytical inference: benchmark trend, risk score or projected margin; labeled as derived rather than observed.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AF2F5"/>
          </w:tcPr>
          <w:p>
            <w:pPr>
              <w:spacing w:after="40" w:line="276" w:lineRule="auto"/>
            </w:pPr>
            <w:r>
              <w:rPr>
                <w:rFonts w:ascii="Calibri" w:hAnsi="Calibri"/>
                <w:b/>
                <w:i w:val="0"/>
                <w:color w:val="102C3E"/>
                <w:sz w:val="17"/>
              </w:rPr>
              <w:t>JUDGING STANDARD</w:t>
            </w:r>
          </w:p>
          <w:p>
            <w:pPr>
              <w:spacing w:after="0" w:line="288" w:lineRule="auto"/>
            </w:pPr>
            <w:r>
              <w:rPr>
                <w:rFonts w:ascii="Calibri" w:hAnsi="Calibri"/>
                <w:b/>
                <w:i w:val="0"/>
                <w:color w:val="1F2930"/>
                <w:sz w:val="22"/>
              </w:rPr>
              <w:t>The demo should never imply that synthetic results are realized outcomes. It should show that the system can produce the evidence needed to measure realized outcomes in a pilot.</w:t>
            </w:r>
          </w:p>
        </w:tc>
      </w:tr>
    </w:tbl>
    <w:p>
      <w:pPr>
        <w:spacing w:after="40"/>
      </w:pPr>
    </w:p>
    <w:p>
      <w:r>
        <w:br w:type="page"/>
      </w:r>
    </w:p>
    <w:p>
      <w:pPr>
        <w:keepLines/>
        <w:spacing w:before="0" w:after="80" w:line="240" w:lineRule="auto"/>
      </w:pPr>
      <w:r>
        <w:rPr>
          <w:rFonts w:ascii="Calibri" w:hAnsi="Calibri"/>
          <w:b/>
          <w:i w:val="0"/>
          <w:caps/>
          <w:color w:val="F66F61"/>
          <w:sz w:val="18"/>
        </w:rPr>
        <w:t>SECTION 05</w:t>
      </w:r>
    </w:p>
    <w:p>
      <w:pPr>
        <w:pStyle w:val="Heading1"/>
        <w:keepNext/>
      </w:pPr>
      <w:r>
        <w:t>Vendor matching, risk and benchmark methodology</w:t>
      </w:r>
    </w:p>
    <w:p>
      <w:pPr>
        <w:keepLines w:val="0"/>
        <w:spacing w:before="0" w:after="240" w:line="300" w:lineRule="auto"/>
      </w:pPr>
      <w:r>
        <w:rPr>
          <w:rFonts w:ascii="Calibri" w:hAnsi="Calibri"/>
          <w:b w:val="0"/>
          <w:i w:val="0"/>
          <w:color w:val="68757D"/>
          <w:sz w:val="23"/>
        </w:rPr>
        <w:t>The model separates eligibility, fit, risk and governance so the recommendation can be explained without exposing a manipulable public score.</w:t>
      </w:r>
    </w:p>
    <w:p>
      <w:pPr>
        <w:pStyle w:val="Heading2"/>
        <w:keepNext/>
      </w:pPr>
      <w:r>
        <w:t>Step 1: eligibility gates</w:t>
      </w:r>
    </w:p>
    <w:tbl>
      <w:tblPr>
        <w:tblStyle w:val="TableGrid"/>
        <w:tblW w:type="dxa" w:w="9360"/>
        <w:tblLayout w:type="fixed"/>
        <w:tblLook w:firstColumn="1" w:firstRow="1" w:lastColumn="0" w:lastRow="0" w:noHBand="0" w:noVBand="1" w:val="04A0"/>
        <w:jc w:val="left"/>
        <w:tblInd w:w="120" w:type="dxa"/>
      </w:tblPr>
      <w:tblGrid>
        <w:gridCol w:w="1900"/>
        <w:gridCol w:w="4200"/>
        <w:gridCol w:w="3260"/>
      </w:tblGrid>
      <w:tr>
        <w:trPr>
          <w:tblHeader w:val="true"/>
        </w:trPr>
        <w:tc>
          <w:tcPr>
            <w:tcW w:type="dxa" w:w="19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Gate</w:t>
            </w:r>
          </w:p>
        </w:tc>
        <w:tc>
          <w:tcPr>
            <w:tcW w:type="dxa" w:w="42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Requirement</w:t>
            </w:r>
          </w:p>
        </w:tc>
        <w:tc>
          <w:tcPr>
            <w:tcW w:type="dxa" w:w="326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Failure result</w:t>
            </w:r>
          </w:p>
        </w:tc>
      </w:tr>
      <w:tr>
        <w:tc>
          <w:tcPr>
            <w:tcW w:type="dxa" w:w="1900"/>
            <w:tcMar>
              <w:top w:w="100" w:type="dxa"/>
              <w:start w:w="130" w:type="dxa"/>
              <w:bottom w:w="100" w:type="dxa"/>
              <w:end w:w="130" w:type="dxa"/>
            </w:tcMar>
            <w:vAlign w:val="center"/>
          </w:tcPr>
          <w:p>
            <w:pPr>
              <w:spacing w:after="0" w:line="264" w:lineRule="auto"/>
            </w:pPr>
            <w:r>
              <w:rPr>
                <w:rFonts w:ascii="Calibri" w:hAnsi="Calibri"/>
                <w:b/>
                <w:i w:val="0"/>
                <w:color w:val="1F2930"/>
                <w:sz w:val="18"/>
              </w:rPr>
              <w:t>Service area</w:t>
            </w:r>
          </w:p>
        </w:tc>
        <w:tc>
          <w:tcPr>
            <w:tcW w:type="dxa" w:w="4200"/>
            <w:tcMar>
              <w:top w:w="100" w:type="dxa"/>
              <w:start w:w="130" w:type="dxa"/>
              <w:bottom w:w="100" w:type="dxa"/>
              <w:end w:w="130" w:type="dxa"/>
            </w:tcMar>
            <w:vAlign w:val="center"/>
          </w:tcPr>
          <w:p>
            <w:pPr>
              <w:spacing w:after="0" w:line="264" w:lineRule="auto"/>
            </w:pPr>
            <w:r>
              <w:rPr>
                <w:rFonts w:ascii="Calibri" w:hAnsi="Calibri"/>
                <w:b w:val="0"/>
                <w:i w:val="0"/>
                <w:color w:val="1F2930"/>
                <w:sz w:val="18"/>
              </w:rPr>
              <w:t>Delivery address is within the vendor’s active coverage</w:t>
            </w:r>
          </w:p>
        </w:tc>
        <w:tc>
          <w:tcPr>
            <w:tcW w:type="dxa" w:w="3260"/>
            <w:tcMar>
              <w:top w:w="100" w:type="dxa"/>
              <w:start w:w="130" w:type="dxa"/>
              <w:bottom w:w="100" w:type="dxa"/>
              <w:end w:w="130" w:type="dxa"/>
            </w:tcMar>
            <w:vAlign w:val="center"/>
          </w:tcPr>
          <w:p>
            <w:pPr>
              <w:spacing w:after="0" w:line="264" w:lineRule="auto"/>
            </w:pPr>
            <w:r>
              <w:rPr>
                <w:rFonts w:ascii="Calibri" w:hAnsi="Calibri"/>
                <w:b w:val="0"/>
                <w:i w:val="0"/>
                <w:color w:val="1F2930"/>
                <w:sz w:val="18"/>
              </w:rPr>
              <w:t>Vendor excluded</w:t>
            </w:r>
          </w:p>
        </w:tc>
      </w:tr>
      <w:tr>
        <w:tc>
          <w:tcPr>
            <w:tcW w:type="dxa" w:w="19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Equipment</w:t>
            </w:r>
          </w:p>
        </w:tc>
        <w:tc>
          <w:tcPr>
            <w:tcW w:type="dxa" w:w="42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All ordered categories/items are supported or verified</w:t>
            </w:r>
          </w:p>
        </w:tc>
        <w:tc>
          <w:tcPr>
            <w:tcW w:type="dxa" w:w="32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Vendor excluded or manual verification</w:t>
            </w:r>
          </w:p>
        </w:tc>
      </w:tr>
      <w:tr>
        <w:tc>
          <w:tcPr>
            <w:tcW w:type="dxa" w:w="1900"/>
            <w:tcMar>
              <w:top w:w="100" w:type="dxa"/>
              <w:start w:w="130" w:type="dxa"/>
              <w:bottom w:w="100" w:type="dxa"/>
              <w:end w:w="130" w:type="dxa"/>
            </w:tcMar>
            <w:vAlign w:val="center"/>
          </w:tcPr>
          <w:p>
            <w:pPr>
              <w:spacing w:after="0" w:line="264" w:lineRule="auto"/>
            </w:pPr>
            <w:r>
              <w:rPr>
                <w:rFonts w:ascii="Calibri" w:hAnsi="Calibri"/>
                <w:b/>
                <w:i w:val="0"/>
                <w:color w:val="1F2930"/>
                <w:sz w:val="18"/>
              </w:rPr>
              <w:t>Dispatch window</w:t>
            </w:r>
          </w:p>
        </w:tc>
        <w:tc>
          <w:tcPr>
            <w:tcW w:type="dxa" w:w="4200"/>
            <w:tcMar>
              <w:top w:w="100" w:type="dxa"/>
              <w:start w:w="130" w:type="dxa"/>
              <w:bottom w:w="100" w:type="dxa"/>
              <w:end w:w="130" w:type="dxa"/>
            </w:tcMar>
            <w:vAlign w:val="center"/>
          </w:tcPr>
          <w:p>
            <w:pPr>
              <w:spacing w:after="0" w:line="264" w:lineRule="auto"/>
            </w:pPr>
            <w:r>
              <w:rPr>
                <w:rFonts w:ascii="Calibri" w:hAnsi="Calibri"/>
                <w:b w:val="0"/>
                <w:i w:val="0"/>
                <w:color w:val="1F2930"/>
                <w:sz w:val="18"/>
              </w:rPr>
              <w:t>Weekday, weekend and holiday coverage overlaps the requested timeline</w:t>
            </w:r>
          </w:p>
        </w:tc>
        <w:tc>
          <w:tcPr>
            <w:tcW w:type="dxa" w:w="3260"/>
            <w:tcMar>
              <w:top w:w="100" w:type="dxa"/>
              <w:start w:w="130" w:type="dxa"/>
              <w:bottom w:w="100" w:type="dxa"/>
              <w:end w:w="130" w:type="dxa"/>
            </w:tcMar>
            <w:vAlign w:val="center"/>
          </w:tcPr>
          <w:p>
            <w:pPr>
              <w:spacing w:after="0" w:line="264" w:lineRule="auto"/>
            </w:pPr>
            <w:r>
              <w:rPr>
                <w:rFonts w:ascii="Calibri" w:hAnsi="Calibri"/>
                <w:b w:val="0"/>
                <w:i w:val="0"/>
                <w:color w:val="1F2930"/>
                <w:sz w:val="18"/>
              </w:rPr>
              <w:t>Penalty or exclusion based on urgency</w:t>
            </w:r>
          </w:p>
        </w:tc>
      </w:tr>
      <w:tr>
        <w:tc>
          <w:tcPr>
            <w:tcW w:type="dxa" w:w="19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Network standing</w:t>
            </w:r>
          </w:p>
        </w:tc>
        <w:tc>
          <w:tcPr>
            <w:tcW w:type="dxa" w:w="42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Contract, credential and escalation contacts are current</w:t>
            </w:r>
          </w:p>
        </w:tc>
        <w:tc>
          <w:tcPr>
            <w:tcW w:type="dxa" w:w="32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Vendor excluded</w:t>
            </w:r>
          </w:p>
        </w:tc>
      </w:tr>
      <w:tr>
        <w:tc>
          <w:tcPr>
            <w:tcW w:type="dxa" w:w="1900"/>
            <w:tcMar>
              <w:top w:w="100" w:type="dxa"/>
              <w:start w:w="130" w:type="dxa"/>
              <w:bottom w:w="100" w:type="dxa"/>
              <w:end w:w="130" w:type="dxa"/>
            </w:tcMar>
            <w:vAlign w:val="center"/>
          </w:tcPr>
          <w:p>
            <w:pPr>
              <w:spacing w:after="0" w:line="264" w:lineRule="auto"/>
            </w:pPr>
            <w:r>
              <w:rPr>
                <w:rFonts w:ascii="Calibri" w:hAnsi="Calibri"/>
                <w:b/>
                <w:i w:val="0"/>
                <w:color w:val="1F2930"/>
                <w:sz w:val="18"/>
              </w:rPr>
              <w:t>Disruption</w:t>
            </w:r>
          </w:p>
        </w:tc>
        <w:tc>
          <w:tcPr>
            <w:tcW w:type="dxa" w:w="4200"/>
            <w:tcMar>
              <w:top w:w="100" w:type="dxa"/>
              <w:start w:w="130" w:type="dxa"/>
              <w:bottom w:w="100" w:type="dxa"/>
              <w:end w:w="130" w:type="dxa"/>
            </w:tcMar>
            <w:vAlign w:val="center"/>
          </w:tcPr>
          <w:p>
            <w:pPr>
              <w:spacing w:after="0" w:line="264" w:lineRule="auto"/>
            </w:pPr>
            <w:r>
              <w:rPr>
                <w:rFonts w:ascii="Calibri" w:hAnsi="Calibri"/>
                <w:b w:val="0"/>
                <w:i w:val="0"/>
                <w:color w:val="1F2930"/>
                <w:sz w:val="18"/>
              </w:rPr>
              <w:t>Required human confirmation completed for an active severe event</w:t>
            </w:r>
          </w:p>
        </w:tc>
        <w:tc>
          <w:tcPr>
            <w:tcW w:type="dxa" w:w="3260"/>
            <w:tcMar>
              <w:top w:w="100" w:type="dxa"/>
              <w:start w:w="130" w:type="dxa"/>
              <w:bottom w:w="100" w:type="dxa"/>
              <w:end w:w="130" w:type="dxa"/>
            </w:tcMar>
            <w:vAlign w:val="center"/>
          </w:tcPr>
          <w:p>
            <w:pPr>
              <w:spacing w:after="0" w:line="264" w:lineRule="auto"/>
            </w:pPr>
            <w:r>
              <w:rPr>
                <w:rFonts w:ascii="Calibri" w:hAnsi="Calibri"/>
                <w:b w:val="0"/>
                <w:i w:val="0"/>
                <w:color w:val="1F2930"/>
                <w:sz w:val="18"/>
              </w:rPr>
              <w:t>Submission blocked for under-eight-hour orders</w:t>
            </w:r>
          </w:p>
        </w:tc>
      </w:tr>
    </w:tbl>
    <w:p>
      <w:pPr>
        <w:spacing w:after="40"/>
      </w:pPr>
    </w:p>
    <w:p>
      <w:pPr>
        <w:pStyle w:val="Heading2"/>
        <w:keepNext/>
      </w:pPr>
      <w:r>
        <w:t>Step 2: deterministic order fit</w:t>
      </w:r>
    </w:p>
    <w:p>
      <w:pPr>
        <w:keepLines w:val="0"/>
        <w:spacing w:before="0" w:after="160" w:line="320" w:lineRule="auto"/>
      </w:pPr>
      <w:r>
        <w:rPr>
          <w:rFonts w:ascii="Calibri" w:hAnsi="Calibri"/>
          <w:b w:val="0"/>
          <w:i w:val="0"/>
          <w:color w:val="1F2930"/>
          <w:sz w:val="22"/>
        </w:rPr>
        <w:t>Eligible vendors are ordered by a controlled rules engine using item/timeline reliability, capacity, benchmark position, dispatch coverage and quality/PSF history. Initial weights are pilot parameters, not permanent truths; they should be versioned, approved and monitored for unintended effects.</w:t>
      </w:r>
    </w:p>
    <w:tbl>
      <w:tblPr>
        <w:tblStyle w:val="TableGrid"/>
        <w:tblW w:type="dxa" w:w="9360"/>
        <w:tblLayout w:type="fixed"/>
        <w:tblLook w:firstColumn="1" w:firstRow="1" w:lastColumn="0" w:lastRow="0" w:noHBand="0" w:noVBand="1" w:val="04A0"/>
        <w:jc w:val="left"/>
        <w:tblInd w:w="120" w:type="dxa"/>
      </w:tblPr>
      <w:tblGrid>
        <w:gridCol w:w="2200"/>
        <w:gridCol w:w="3800"/>
        <w:gridCol w:w="3360"/>
      </w:tblGrid>
      <w:tr>
        <w:trPr>
          <w:tblHeader w:val="true"/>
        </w:trPr>
        <w:tc>
          <w:tcPr>
            <w:tcW w:type="dxa" w:w="220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Signal family</w:t>
            </w:r>
          </w:p>
        </w:tc>
        <w:tc>
          <w:tcPr>
            <w:tcW w:type="dxa" w:w="380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Examples</w:t>
            </w:r>
          </w:p>
        </w:tc>
        <w:tc>
          <w:tcPr>
            <w:tcW w:type="dxa" w:w="336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Treatment</w:t>
            </w:r>
          </w:p>
        </w:tc>
      </w:tr>
      <w:tr>
        <w:tc>
          <w:tcPr>
            <w:tcW w:type="dxa" w:w="2200"/>
            <w:tcMar>
              <w:top w:w="100" w:type="dxa"/>
              <w:start w:w="130" w:type="dxa"/>
              <w:bottom w:w="100" w:type="dxa"/>
              <w:end w:w="130" w:type="dxa"/>
            </w:tcMar>
            <w:vAlign w:val="center"/>
          </w:tcPr>
          <w:p>
            <w:pPr>
              <w:spacing w:after="0" w:line="264" w:lineRule="auto"/>
            </w:pPr>
            <w:r>
              <w:rPr>
                <w:rFonts w:ascii="Calibri" w:hAnsi="Calibri"/>
                <w:b/>
                <w:i w:val="0"/>
                <w:color w:val="1F2930"/>
                <w:sz w:val="18"/>
              </w:rPr>
              <w:t>Item/timeline performance</w:t>
            </w:r>
          </w:p>
        </w:tc>
        <w:tc>
          <w:tcPr>
            <w:tcW w:type="dxa" w:w="3800"/>
            <w:tcMar>
              <w:top w:w="100" w:type="dxa"/>
              <w:start w:w="130" w:type="dxa"/>
              <w:bottom w:w="100" w:type="dxa"/>
              <w:end w:w="130" w:type="dxa"/>
            </w:tcMar>
            <w:vAlign w:val="center"/>
          </w:tcPr>
          <w:p>
            <w:pPr>
              <w:spacing w:after="0" w:line="264" w:lineRule="auto"/>
            </w:pPr>
            <w:r>
              <w:rPr>
                <w:rFonts w:ascii="Calibri" w:hAnsi="Calibri"/>
                <w:b w:val="0"/>
                <w:i w:val="0"/>
                <w:color w:val="1F2930"/>
                <w:sz w:val="18"/>
              </w:rPr>
              <w:t>On-time rate for the requested equipment and urgency</w:t>
            </w:r>
          </w:p>
        </w:tc>
        <w:tc>
          <w:tcPr>
            <w:tcW w:type="dxa" w:w="3360"/>
            <w:tcMar>
              <w:top w:w="100" w:type="dxa"/>
              <w:start w:w="130" w:type="dxa"/>
              <w:bottom w:w="100" w:type="dxa"/>
              <w:end w:w="130" w:type="dxa"/>
            </w:tcMar>
            <w:vAlign w:val="center"/>
          </w:tcPr>
          <w:p>
            <w:pPr>
              <w:spacing w:after="0" w:line="264" w:lineRule="auto"/>
            </w:pPr>
            <w:r>
              <w:rPr>
                <w:rFonts w:ascii="Calibri" w:hAnsi="Calibri"/>
                <w:b w:val="0"/>
                <w:i w:val="0"/>
                <w:color w:val="1F2930"/>
                <w:sz w:val="18"/>
              </w:rPr>
              <w:t>Primary positive signal</w:t>
            </w:r>
          </w:p>
        </w:tc>
      </w:tr>
      <w:tr>
        <w:tc>
          <w:tcPr>
            <w:tcW w:type="dxa" w:w="22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Capacity and active load</w:t>
            </w:r>
          </w:p>
        </w:tc>
        <w:tc>
          <w:tcPr>
            <w:tcW w:type="dxa" w:w="38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Current orders, available dispatch and geographic load</w:t>
            </w:r>
          </w:p>
        </w:tc>
        <w:tc>
          <w:tcPr>
            <w:tcW w:type="dxa" w:w="33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Diminishing capacity adjustment</w:t>
            </w:r>
          </w:p>
        </w:tc>
      </w:tr>
      <w:tr>
        <w:tc>
          <w:tcPr>
            <w:tcW w:type="dxa" w:w="2200"/>
            <w:tcMar>
              <w:top w:w="100" w:type="dxa"/>
              <w:start w:w="130" w:type="dxa"/>
              <w:bottom w:w="100" w:type="dxa"/>
              <w:end w:w="130" w:type="dxa"/>
            </w:tcMar>
            <w:vAlign w:val="center"/>
          </w:tcPr>
          <w:p>
            <w:pPr>
              <w:spacing w:after="0" w:line="264" w:lineRule="auto"/>
            </w:pPr>
            <w:r>
              <w:rPr>
                <w:rFonts w:ascii="Calibri" w:hAnsi="Calibri"/>
                <w:b/>
                <w:i w:val="0"/>
                <w:color w:val="1F2930"/>
                <w:sz w:val="18"/>
              </w:rPr>
              <w:t>Cost position</w:t>
            </w:r>
          </w:p>
        </w:tc>
        <w:tc>
          <w:tcPr>
            <w:tcW w:type="dxa" w:w="3800"/>
            <w:tcMar>
              <w:top w:w="100" w:type="dxa"/>
              <w:start w:w="130" w:type="dxa"/>
              <w:bottom w:w="100" w:type="dxa"/>
              <w:end w:w="130" w:type="dxa"/>
            </w:tcMar>
            <w:vAlign w:val="center"/>
          </w:tcPr>
          <w:p>
            <w:pPr>
              <w:spacing w:after="0" w:line="264" w:lineRule="auto"/>
            </w:pPr>
            <w:r>
              <w:rPr>
                <w:rFonts w:ascii="Calibri" w:hAnsi="Calibri"/>
                <w:b w:val="0"/>
                <w:i w:val="0"/>
                <w:color w:val="1F2930"/>
                <w:sz w:val="18"/>
              </w:rPr>
              <w:t>Actual contracted cost versus CMS/local benchmark</w:t>
            </w:r>
          </w:p>
        </w:tc>
        <w:tc>
          <w:tcPr>
            <w:tcW w:type="dxa" w:w="3360"/>
            <w:tcMar>
              <w:top w:w="100" w:type="dxa"/>
              <w:start w:w="130" w:type="dxa"/>
              <w:bottom w:w="100" w:type="dxa"/>
              <w:end w:w="130" w:type="dxa"/>
            </w:tcMar>
            <w:vAlign w:val="center"/>
          </w:tcPr>
          <w:p>
            <w:pPr>
              <w:spacing w:after="0" w:line="264" w:lineRule="auto"/>
            </w:pPr>
            <w:r>
              <w:rPr>
                <w:rFonts w:ascii="Calibri" w:hAnsi="Calibri"/>
                <w:b w:val="0"/>
                <w:i w:val="0"/>
                <w:color w:val="1F2930"/>
                <w:sz w:val="18"/>
              </w:rPr>
              <w:t>Order-level variance signal</w:t>
            </w:r>
          </w:p>
        </w:tc>
      </w:tr>
      <w:tr>
        <w:tc>
          <w:tcPr>
            <w:tcW w:type="dxa" w:w="22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Dispatch coverage</w:t>
            </w:r>
          </w:p>
        </w:tc>
        <w:tc>
          <w:tcPr>
            <w:tcW w:type="dxa" w:w="38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Weekday, weekend and holiday staffed hours</w:t>
            </w:r>
          </w:p>
        </w:tc>
        <w:tc>
          <w:tcPr>
            <w:tcW w:type="dxa" w:w="33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Condition-specific fit signal</w:t>
            </w:r>
          </w:p>
        </w:tc>
      </w:tr>
      <w:tr>
        <w:tc>
          <w:tcPr>
            <w:tcW w:type="dxa" w:w="2200"/>
            <w:tcMar>
              <w:top w:w="100" w:type="dxa"/>
              <w:start w:w="130" w:type="dxa"/>
              <w:bottom w:w="100" w:type="dxa"/>
              <w:end w:w="130" w:type="dxa"/>
            </w:tcMar>
            <w:vAlign w:val="center"/>
          </w:tcPr>
          <w:p>
            <w:pPr>
              <w:spacing w:after="0" w:line="264" w:lineRule="auto"/>
            </w:pPr>
            <w:r>
              <w:rPr>
                <w:rFonts w:ascii="Calibri" w:hAnsi="Calibri"/>
                <w:b/>
                <w:i w:val="0"/>
                <w:color w:val="1F2930"/>
                <w:sz w:val="18"/>
              </w:rPr>
              <w:t>Quality and PSF</w:t>
            </w:r>
          </w:p>
        </w:tc>
        <w:tc>
          <w:tcPr>
            <w:tcW w:type="dxa" w:w="3800"/>
            <w:tcMar>
              <w:top w:w="100" w:type="dxa"/>
              <w:start w:w="130" w:type="dxa"/>
              <w:bottom w:w="100" w:type="dxa"/>
              <w:end w:w="130" w:type="dxa"/>
            </w:tcMar>
            <w:vAlign w:val="center"/>
          </w:tcPr>
          <w:p>
            <w:pPr>
              <w:spacing w:after="0" w:line="264" w:lineRule="auto"/>
            </w:pPr>
            <w:r>
              <w:rPr>
                <w:rFonts w:ascii="Calibri" w:hAnsi="Calibri"/>
                <w:b w:val="0"/>
                <w:i w:val="0"/>
                <w:color w:val="1F2930"/>
                <w:sz w:val="18"/>
              </w:rPr>
              <w:t>Severity, recurrence, recency, resolution and recovery</w:t>
            </w:r>
          </w:p>
        </w:tc>
        <w:tc>
          <w:tcPr>
            <w:tcW w:type="dxa" w:w="3360"/>
            <w:tcMar>
              <w:top w:w="100" w:type="dxa"/>
              <w:start w:w="130" w:type="dxa"/>
              <w:bottom w:w="100" w:type="dxa"/>
              <w:end w:w="130" w:type="dxa"/>
            </w:tcMar>
            <w:vAlign w:val="center"/>
          </w:tcPr>
          <w:p>
            <w:pPr>
              <w:spacing w:after="0" w:line="264" w:lineRule="auto"/>
            </w:pPr>
            <w:r>
              <w:rPr>
                <w:rFonts w:ascii="Calibri" w:hAnsi="Calibri"/>
                <w:b w:val="0"/>
                <w:i w:val="0"/>
                <w:color w:val="1F2930"/>
                <w:sz w:val="18"/>
              </w:rPr>
              <w:t>Penalty with reduced weight after verified recovery</w:t>
            </w:r>
          </w:p>
        </w:tc>
      </w:tr>
    </w:tbl>
    <w:p>
      <w:pPr>
        <w:spacing w:after="40"/>
      </w:pPr>
    </w:p>
    <w:p>
      <w:pPr>
        <w:pStyle w:val="Heading2"/>
        <w:keepNext/>
      </w:pPr>
      <w:r>
        <w:t>Benchmark trend calculation</w:t>
      </w:r>
    </w:p>
    <w:p>
      <w:pPr>
        <w:keepLines w:val="0"/>
        <w:spacing w:before="0" w:after="160" w:line="320" w:lineRule="auto"/>
      </w:pPr>
      <w:r>
        <w:rPr>
          <w:rFonts w:ascii="Calibri" w:hAnsi="Calibri"/>
          <w:b w:val="0"/>
          <w:i w:val="0"/>
          <w:color w:val="1F2930"/>
          <w:sz w:val="22"/>
        </w:rPr>
        <w:t>Vendor benchmark variance ($) = Actual DME Cost - Applicable CMS/Local Benchmark. Vendor benchmark variance (%) = Variance / Benchmark. A vendor is flagged as trending above benchmark when the aggregated variance is positive for the selected period and minimum case-volume rule.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7E2"/>
          </w:tcPr>
          <w:p>
            <w:pPr>
              <w:spacing w:after="40" w:line="276" w:lineRule="auto"/>
            </w:pPr>
            <w:r>
              <w:rPr>
                <w:rFonts w:ascii="Calibri" w:hAnsi="Calibri"/>
                <w:b/>
                <w:i w:val="0"/>
                <w:color w:val="9B6A11"/>
                <w:sz w:val="17"/>
              </w:rPr>
              <w:t>GUARDRAIL</w:t>
            </w:r>
          </w:p>
          <w:p>
            <w:pPr>
              <w:spacing w:after="0" w:line="288" w:lineRule="auto"/>
            </w:pPr>
            <w:r>
              <w:rPr>
                <w:rFonts w:ascii="Calibri" w:hAnsi="Calibri"/>
                <w:b/>
                <w:i w:val="0"/>
                <w:color w:val="1F2930"/>
                <w:sz w:val="22"/>
              </w:rPr>
              <w:t>Benchmark position informs governance; it does not override clinical fit, availability, disruption confirmation or patient safety.</w:t>
            </w:r>
          </w:p>
        </w:tc>
      </w:tr>
    </w:tbl>
    <w:p>
      <w:pPr>
        <w:spacing w:after="40"/>
      </w:pPr>
    </w:p>
    <w:p>
      <w:r>
        <w:br w:type="page"/>
      </w:r>
    </w:p>
    <w:p>
      <w:pPr>
        <w:keepLines/>
        <w:spacing w:before="0" w:after="80" w:line="240" w:lineRule="auto"/>
      </w:pPr>
      <w:r>
        <w:rPr>
          <w:rFonts w:ascii="Calibri" w:hAnsi="Calibri"/>
          <w:b/>
          <w:i w:val="0"/>
          <w:caps/>
          <w:color w:val="F66F61"/>
          <w:sz w:val="18"/>
        </w:rPr>
        <w:t>SECTION 06</w:t>
      </w:r>
    </w:p>
    <w:p>
      <w:pPr>
        <w:pStyle w:val="Heading1"/>
        <w:keepNext/>
      </w:pPr>
      <w:r>
        <w:t>Preventable Service Failure methodology</w:t>
      </w:r>
    </w:p>
    <w:p>
      <w:pPr>
        <w:keepLines w:val="0"/>
        <w:spacing w:before="0" w:after="240" w:line="300" w:lineRule="auto"/>
      </w:pPr>
      <w:r>
        <w:rPr>
          <w:rFonts w:ascii="Calibri" w:hAnsi="Calibri"/>
          <w:b w:val="0"/>
          <w:i w:val="0"/>
          <w:color w:val="68757D"/>
          <w:sz w:val="23"/>
        </w:rPr>
        <w:t>PSF turns a service exception into a defined operational case with ownership, evidence, financial exposure and recovery.</w:t>
      </w:r>
    </w:p>
    <w:p>
      <w:pPr>
        <w:pStyle w:val="Heading2"/>
        <w:keepNext/>
      </w:pPr>
      <w:r>
        <w:t>Definition</w:t>
      </w:r>
    </w:p>
    <w:p>
      <w:pPr>
        <w:keepLines w:val="0"/>
        <w:spacing w:before="0" w:after="160" w:line="320" w:lineRule="auto"/>
      </w:pPr>
      <w:r>
        <w:rPr>
          <w:rFonts w:ascii="Calibri" w:hAnsi="Calibri"/>
          <w:b w:val="0"/>
          <w:i w:val="0"/>
          <w:color w:val="1F2930"/>
          <w:sz w:val="22"/>
        </w:rPr>
        <w:t>A Preventable Service Failure is a confirmed DME event that did not meet an agreed requirement and could reasonably have been avoided through an available process, staffing, communication, inventory or control action. The event must have a documented service impact, financial exposure or both.</w:t>
      </w:r>
    </w:p>
    <w:p>
      <w:pPr>
        <w:pStyle w:val="Heading2"/>
        <w:keepNext/>
      </w:pPr>
      <w:r>
        <w:t>In scope</w:t>
      </w:r>
    </w:p>
    <w:p>
      <w:pPr>
        <w:pStyle w:val="ListBullet"/>
        <w:spacing w:after="80" w:line="290" w:lineRule="auto"/>
        <w:ind w:left="540" w:hanging="279"/>
      </w:pPr>
      <w:r>
        <w:rPr>
          <w:rFonts w:ascii="Calibri" w:hAnsi="Calibri"/>
          <w:b w:val="0"/>
          <w:i w:val="0"/>
          <w:color w:val="1F2930"/>
          <w:sz w:val="22"/>
        </w:rPr>
        <w:t>Missed dispatch or delivery commitment without an approved exception.</w:t>
      </w:r>
    </w:p>
    <w:p>
      <w:pPr>
        <w:pStyle w:val="ListBullet"/>
        <w:spacing w:after="80" w:line="290" w:lineRule="auto"/>
        <w:ind w:left="540" w:hanging="279"/>
      </w:pPr>
      <w:r>
        <w:rPr>
          <w:rFonts w:ascii="Calibri" w:hAnsi="Calibri"/>
          <w:b w:val="0"/>
          <w:i w:val="0"/>
          <w:color w:val="1F2930"/>
          <w:sz w:val="22"/>
        </w:rPr>
        <w:t>Incorrect, incomplete or condition-compromised equipment.</w:t>
      </w:r>
    </w:p>
    <w:p>
      <w:pPr>
        <w:pStyle w:val="ListBullet"/>
        <w:spacing w:after="80" w:line="290" w:lineRule="auto"/>
        <w:ind w:left="540" w:hanging="279"/>
      </w:pPr>
      <w:r>
        <w:rPr>
          <w:rFonts w:ascii="Calibri" w:hAnsi="Calibri"/>
          <w:b w:val="0"/>
          <w:i w:val="0"/>
          <w:color w:val="1F2930"/>
          <w:sz w:val="22"/>
        </w:rPr>
        <w:t>Failure to communicate a material status change or disruption.</w:t>
      </w:r>
    </w:p>
    <w:p>
      <w:pPr>
        <w:pStyle w:val="ListBullet"/>
        <w:spacing w:after="80" w:line="290" w:lineRule="auto"/>
        <w:ind w:left="540" w:hanging="279"/>
      </w:pPr>
      <w:r>
        <w:rPr>
          <w:rFonts w:ascii="Calibri" w:hAnsi="Calibri"/>
          <w:b w:val="0"/>
          <w:i w:val="0"/>
          <w:color w:val="1F2930"/>
          <w:sz w:val="22"/>
        </w:rPr>
        <w:t>Pickup delay that extends avoidable rental exposure.</w:t>
      </w:r>
    </w:p>
    <w:p>
      <w:pPr>
        <w:pStyle w:val="ListBullet"/>
        <w:spacing w:after="80" w:line="290" w:lineRule="auto"/>
        <w:ind w:left="540" w:hanging="279"/>
      </w:pPr>
      <w:r>
        <w:rPr>
          <w:rFonts w:ascii="Calibri" w:hAnsi="Calibri"/>
          <w:b w:val="0"/>
          <w:i w:val="0"/>
          <w:color w:val="1F2930"/>
          <w:sz w:val="22"/>
        </w:rPr>
        <w:t>Missing proof or attestation that delays billing or acknowledgment.</w:t>
      </w:r>
    </w:p>
    <w:p>
      <w:pPr>
        <w:pStyle w:val="Heading2"/>
        <w:keepNext/>
      </w:pPr>
      <w:r>
        <w:t>Workflow</w:t>
      </w:r>
    </w:p>
    <w:tbl>
      <w:tblPr>
        <w:tblStyle w:val="TableGrid"/>
        <w:tblW w:type="dxa" w:w="9360"/>
        <w:tblLayout w:type="fixed"/>
        <w:tblLook w:firstColumn="1" w:firstRow="1" w:lastColumn="0" w:lastRow="0" w:noHBand="0" w:noVBand="1" w:val="04A0"/>
        <w:jc w:val="left"/>
        <w:tblInd w:w="120" w:type="dxa"/>
      </w:tblPr>
      <w:tblGrid>
        <w:gridCol w:w="1500"/>
        <w:gridCol w:w="3900"/>
        <w:gridCol w:w="3960"/>
      </w:tblGrid>
      <w:tr>
        <w:trPr>
          <w:tblHeader w:val="true"/>
        </w:trPr>
        <w:tc>
          <w:tcPr>
            <w:tcW w:type="dxa" w:w="15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Stage</w:t>
            </w:r>
          </w:p>
        </w:tc>
        <w:tc>
          <w:tcPr>
            <w:tcW w:type="dxa" w:w="39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Required action</w:t>
            </w:r>
          </w:p>
        </w:tc>
        <w:tc>
          <w:tcPr>
            <w:tcW w:type="dxa" w:w="396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Minimum evidence</w:t>
            </w:r>
          </w:p>
        </w:tc>
      </w:tr>
      <w:tr>
        <w:tc>
          <w:tcPr>
            <w:tcW w:type="dxa" w:w="1500"/>
            <w:tcMar>
              <w:top w:w="100" w:type="dxa"/>
              <w:start w:w="130" w:type="dxa"/>
              <w:bottom w:w="100" w:type="dxa"/>
              <w:end w:w="130" w:type="dxa"/>
            </w:tcMar>
            <w:vAlign w:val="center"/>
          </w:tcPr>
          <w:p>
            <w:pPr>
              <w:spacing w:after="0" w:line="264" w:lineRule="auto"/>
            </w:pPr>
            <w:r>
              <w:rPr>
                <w:rFonts w:ascii="Calibri" w:hAnsi="Calibri"/>
                <w:b/>
                <w:i w:val="0"/>
                <w:color w:val="1F2930"/>
                <w:sz w:val="18"/>
              </w:rPr>
              <w:t>Identify</w:t>
            </w:r>
          </w:p>
        </w:tc>
        <w:tc>
          <w:tcPr>
            <w:tcW w:type="dxa" w:w="3900"/>
            <w:tcMar>
              <w:top w:w="100" w:type="dxa"/>
              <w:start w:w="130" w:type="dxa"/>
              <w:bottom w:w="100" w:type="dxa"/>
              <w:end w:w="130" w:type="dxa"/>
            </w:tcMar>
            <w:vAlign w:val="center"/>
          </w:tcPr>
          <w:p>
            <w:pPr>
              <w:spacing w:after="0" w:line="264" w:lineRule="auto"/>
            </w:pPr>
            <w:r>
              <w:rPr>
                <w:rFonts w:ascii="Calibri" w:hAnsi="Calibri"/>
                <w:b w:val="0"/>
                <w:i w:val="0"/>
                <w:color w:val="1F2930"/>
                <w:sz w:val="18"/>
              </w:rPr>
              <w:t>Create PSF from an order-linked event</w:t>
            </w:r>
          </w:p>
        </w:tc>
        <w:tc>
          <w:tcPr>
            <w:tcW w:type="dxa" w:w="3960"/>
            <w:tcMar>
              <w:top w:w="100" w:type="dxa"/>
              <w:start w:w="130" w:type="dxa"/>
              <w:bottom w:w="100" w:type="dxa"/>
              <w:end w:w="130" w:type="dxa"/>
            </w:tcMar>
            <w:vAlign w:val="center"/>
          </w:tcPr>
          <w:p>
            <w:pPr>
              <w:spacing w:after="0" w:line="264" w:lineRule="auto"/>
            </w:pPr>
            <w:r>
              <w:rPr>
                <w:rFonts w:ascii="Calibri" w:hAnsi="Calibri"/>
                <w:b w:val="0"/>
                <w:i w:val="0"/>
                <w:color w:val="1F2930"/>
                <w:sz w:val="18"/>
              </w:rPr>
              <w:t>Order, vendor, category, timestamp</w:t>
            </w:r>
          </w:p>
        </w:tc>
      </w:tr>
      <w:tr>
        <w:tc>
          <w:tcPr>
            <w:tcW w:type="dxa" w:w="15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Validate</w:t>
            </w:r>
          </w:p>
        </w:tc>
        <w:tc>
          <w:tcPr>
            <w:tcW w:type="dxa" w:w="39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Confirm preventability and revenue at risk</w:t>
            </w:r>
          </w:p>
        </w:tc>
        <w:tc>
          <w:tcPr>
            <w:tcW w:type="dxa" w:w="39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Requirement, root cause, impact</w:t>
            </w:r>
          </w:p>
        </w:tc>
      </w:tr>
      <w:tr>
        <w:tc>
          <w:tcPr>
            <w:tcW w:type="dxa" w:w="1500"/>
            <w:tcMar>
              <w:top w:w="100" w:type="dxa"/>
              <w:start w:w="130" w:type="dxa"/>
              <w:bottom w:w="100" w:type="dxa"/>
              <w:end w:w="130" w:type="dxa"/>
            </w:tcMar>
            <w:vAlign w:val="center"/>
          </w:tcPr>
          <w:p>
            <w:pPr>
              <w:spacing w:after="0" w:line="264" w:lineRule="auto"/>
            </w:pPr>
            <w:r>
              <w:rPr>
                <w:rFonts w:ascii="Calibri" w:hAnsi="Calibri"/>
                <w:b/>
                <w:i w:val="0"/>
                <w:color w:val="1F2930"/>
                <w:sz w:val="18"/>
              </w:rPr>
              <w:t>Recover</w:t>
            </w:r>
          </w:p>
        </w:tc>
        <w:tc>
          <w:tcPr>
            <w:tcW w:type="dxa" w:w="3900"/>
            <w:tcMar>
              <w:top w:w="100" w:type="dxa"/>
              <w:start w:w="130" w:type="dxa"/>
              <w:bottom w:w="100" w:type="dxa"/>
              <w:end w:w="130" w:type="dxa"/>
            </w:tcMar>
            <w:vAlign w:val="center"/>
          </w:tcPr>
          <w:p>
            <w:pPr>
              <w:spacing w:after="0" w:line="264" w:lineRule="auto"/>
            </w:pPr>
            <w:r>
              <w:rPr>
                <w:rFonts w:ascii="Calibri" w:hAnsi="Calibri"/>
                <w:b w:val="0"/>
                <w:i w:val="0"/>
                <w:color w:val="1F2930"/>
                <w:sz w:val="18"/>
              </w:rPr>
              <w:t>Obtain credit, replacement, reversal or preserved billing</w:t>
            </w:r>
          </w:p>
        </w:tc>
        <w:tc>
          <w:tcPr>
            <w:tcW w:type="dxa" w:w="3960"/>
            <w:tcMar>
              <w:top w:w="100" w:type="dxa"/>
              <w:start w:w="130" w:type="dxa"/>
              <w:bottom w:w="100" w:type="dxa"/>
              <w:end w:w="130" w:type="dxa"/>
            </w:tcMar>
            <w:vAlign w:val="center"/>
          </w:tcPr>
          <w:p>
            <w:pPr>
              <w:spacing w:after="0" w:line="264" w:lineRule="auto"/>
            </w:pPr>
            <w:r>
              <w:rPr>
                <w:rFonts w:ascii="Calibri" w:hAnsi="Calibri"/>
                <w:b w:val="0"/>
                <w:i w:val="0"/>
                <w:color w:val="1F2930"/>
                <w:sz w:val="18"/>
              </w:rPr>
              <w:t>Recovery source and amount</w:t>
            </w:r>
          </w:p>
        </w:tc>
      </w:tr>
      <w:tr>
        <w:tc>
          <w:tcPr>
            <w:tcW w:type="dxa" w:w="15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Close</w:t>
            </w:r>
          </w:p>
        </w:tc>
        <w:tc>
          <w:tcPr>
            <w:tcW w:type="dxa" w:w="39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Approve recovery and avoid double counting</w:t>
            </w:r>
          </w:p>
        </w:tc>
        <w:tc>
          <w:tcPr>
            <w:tcW w:type="dxa" w:w="39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DON/Executive signoff and date</w:t>
            </w:r>
          </w:p>
        </w:tc>
      </w:tr>
      <w:tr>
        <w:tc>
          <w:tcPr>
            <w:tcW w:type="dxa" w:w="1500"/>
            <w:tcMar>
              <w:top w:w="100" w:type="dxa"/>
              <w:start w:w="130" w:type="dxa"/>
              <w:bottom w:w="100" w:type="dxa"/>
              <w:end w:w="130" w:type="dxa"/>
            </w:tcMar>
            <w:vAlign w:val="center"/>
          </w:tcPr>
          <w:p>
            <w:pPr>
              <w:spacing w:after="0" w:line="264" w:lineRule="auto"/>
            </w:pPr>
            <w:r>
              <w:rPr>
                <w:rFonts w:ascii="Calibri" w:hAnsi="Calibri"/>
                <w:b/>
                <w:i w:val="0"/>
                <w:color w:val="1F2930"/>
                <w:sz w:val="18"/>
              </w:rPr>
              <w:t>Learn</w:t>
            </w:r>
          </w:p>
        </w:tc>
        <w:tc>
          <w:tcPr>
            <w:tcW w:type="dxa" w:w="3900"/>
            <w:tcMar>
              <w:top w:w="100" w:type="dxa"/>
              <w:start w:w="130" w:type="dxa"/>
              <w:bottom w:w="100" w:type="dxa"/>
              <w:end w:w="130" w:type="dxa"/>
            </w:tcMar>
            <w:vAlign w:val="center"/>
          </w:tcPr>
          <w:p>
            <w:pPr>
              <w:spacing w:after="0" w:line="264" w:lineRule="auto"/>
            </w:pPr>
            <w:r>
              <w:rPr>
                <w:rFonts w:ascii="Calibri" w:hAnsi="Calibri"/>
                <w:b w:val="0"/>
                <w:i w:val="0"/>
                <w:color w:val="1F2930"/>
                <w:sz w:val="18"/>
              </w:rPr>
              <w:t>Update quality history and future matching impact</w:t>
            </w:r>
          </w:p>
        </w:tc>
        <w:tc>
          <w:tcPr>
            <w:tcW w:type="dxa" w:w="3960"/>
            <w:tcMar>
              <w:top w:w="100" w:type="dxa"/>
              <w:start w:w="130" w:type="dxa"/>
              <w:bottom w:w="100" w:type="dxa"/>
              <w:end w:w="130" w:type="dxa"/>
            </w:tcMar>
            <w:vAlign w:val="center"/>
          </w:tcPr>
          <w:p>
            <w:pPr>
              <w:spacing w:after="0" w:line="264" w:lineRule="auto"/>
            </w:pPr>
            <w:r>
              <w:rPr>
                <w:rFonts w:ascii="Calibri" w:hAnsi="Calibri"/>
                <w:b w:val="0"/>
                <w:i w:val="0"/>
                <w:color w:val="1F2930"/>
                <w:sz w:val="18"/>
              </w:rPr>
              <w:t>Severity, recurrence and resolution</w:t>
            </w:r>
          </w:p>
        </w:tc>
      </w:tr>
    </w:tbl>
    <w:p>
      <w:pPr>
        <w:spacing w:after="40"/>
      </w:pPr>
    </w:p>
    <w:p>
      <w:pPr>
        <w:pStyle w:val="Heading2"/>
        <w:keepNext/>
      </w:pPr>
      <w:r>
        <w:t>Recovery measures</w:t>
      </w:r>
    </w:p>
    <w:tbl>
      <w:tblPr>
        <w:tblStyle w:val="TableGrid"/>
        <w:tblW w:type="dxa" w:w="9360"/>
        <w:tblLayout w:type="fixed"/>
        <w:tblLook w:firstColumn="1" w:firstRow="1" w:lastColumn="0" w:lastRow="0" w:noHBand="0" w:noVBand="1" w:val="04A0"/>
        <w:jc w:val="left"/>
        <w:tblInd w:w="120" w:type="dxa"/>
      </w:tblPr>
      <w:tblGrid>
        <w:gridCol w:w="2200"/>
        <w:gridCol w:w="3600"/>
        <w:gridCol w:w="3560"/>
      </w:tblGrid>
      <w:tr>
        <w:trPr>
          <w:tblHeader w:val="true"/>
        </w:trPr>
        <w:tc>
          <w:tcPr>
            <w:tcW w:type="dxa" w:w="220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Metric</w:t>
            </w:r>
          </w:p>
        </w:tc>
        <w:tc>
          <w:tcPr>
            <w:tcW w:type="dxa" w:w="360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Formula</w:t>
            </w:r>
          </w:p>
        </w:tc>
        <w:tc>
          <w:tcPr>
            <w:tcW w:type="dxa" w:w="356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Control</w:t>
            </w:r>
          </w:p>
        </w:tc>
      </w:tr>
      <w:tr>
        <w:tc>
          <w:tcPr>
            <w:tcW w:type="dxa" w:w="2200"/>
            <w:tcMar>
              <w:top w:w="100" w:type="dxa"/>
              <w:start w:w="130" w:type="dxa"/>
              <w:bottom w:w="100" w:type="dxa"/>
              <w:end w:w="130" w:type="dxa"/>
            </w:tcMar>
            <w:vAlign w:val="center"/>
          </w:tcPr>
          <w:p>
            <w:pPr>
              <w:spacing w:after="0" w:line="264" w:lineRule="auto"/>
            </w:pPr>
            <w:r>
              <w:rPr>
                <w:rFonts w:ascii="Calibri" w:hAnsi="Calibri"/>
                <w:b/>
                <w:i w:val="0"/>
                <w:color w:val="1F2930"/>
                <w:sz w:val="18"/>
              </w:rPr>
              <w:t>PSF recovery quantity</w:t>
            </w:r>
          </w:p>
        </w:tc>
        <w:tc>
          <w:tcPr>
            <w:tcW w:type="dxa" w:w="3600"/>
            <w:tcMar>
              <w:top w:w="100" w:type="dxa"/>
              <w:start w:w="130" w:type="dxa"/>
              <w:bottom w:w="100" w:type="dxa"/>
              <w:end w:w="130" w:type="dxa"/>
            </w:tcMar>
            <w:vAlign w:val="center"/>
          </w:tcPr>
          <w:p>
            <w:pPr>
              <w:spacing w:after="0" w:line="264" w:lineRule="auto"/>
            </w:pPr>
            <w:r>
              <w:rPr>
                <w:rFonts w:ascii="Calibri" w:hAnsi="Calibri"/>
                <w:b w:val="0"/>
                <w:i w:val="0"/>
                <w:color w:val="1F2930"/>
                <w:sz w:val="18"/>
              </w:rPr>
              <w:t>Count of PSFs closed with verified recovery</w:t>
            </w:r>
          </w:p>
        </w:tc>
        <w:tc>
          <w:tcPr>
            <w:tcW w:type="dxa" w:w="3560"/>
            <w:tcMar>
              <w:top w:w="100" w:type="dxa"/>
              <w:start w:w="130" w:type="dxa"/>
              <w:bottom w:w="100" w:type="dxa"/>
              <w:end w:w="130" w:type="dxa"/>
            </w:tcMar>
            <w:vAlign w:val="center"/>
          </w:tcPr>
          <w:p>
            <w:pPr>
              <w:spacing w:after="0" w:line="264" w:lineRule="auto"/>
            </w:pPr>
            <w:r>
              <w:rPr>
                <w:rFonts w:ascii="Calibri" w:hAnsi="Calibri"/>
                <w:b w:val="0"/>
                <w:i w:val="0"/>
                <w:color w:val="1F2930"/>
                <w:sz w:val="18"/>
              </w:rPr>
              <w:t>One case counted once</w:t>
            </w:r>
          </w:p>
        </w:tc>
      </w:tr>
      <w:tr>
        <w:tc>
          <w:tcPr>
            <w:tcW w:type="dxa" w:w="22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Revenue recovered</w:t>
            </w:r>
          </w:p>
        </w:tc>
        <w:tc>
          <w:tcPr>
            <w:tcW w:type="dxa" w:w="36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Sum of verified recovery amounts</w:t>
            </w:r>
          </w:p>
        </w:tc>
        <w:tc>
          <w:tcPr>
            <w:tcW w:type="dxa" w:w="35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No overlap with avoided cost</w:t>
            </w:r>
          </w:p>
        </w:tc>
      </w:tr>
      <w:tr>
        <w:tc>
          <w:tcPr>
            <w:tcW w:type="dxa" w:w="2200"/>
            <w:tcMar>
              <w:top w:w="100" w:type="dxa"/>
              <w:start w:w="130" w:type="dxa"/>
              <w:bottom w:w="100" w:type="dxa"/>
              <w:end w:w="130" w:type="dxa"/>
            </w:tcMar>
            <w:vAlign w:val="center"/>
          </w:tcPr>
          <w:p>
            <w:pPr>
              <w:spacing w:after="0" w:line="264" w:lineRule="auto"/>
            </w:pPr>
            <w:r>
              <w:rPr>
                <w:rFonts w:ascii="Calibri" w:hAnsi="Calibri"/>
                <w:b/>
                <w:i w:val="0"/>
                <w:color w:val="1F2930"/>
                <w:sz w:val="18"/>
              </w:rPr>
              <w:t>Case recovery rate</w:t>
            </w:r>
          </w:p>
        </w:tc>
        <w:tc>
          <w:tcPr>
            <w:tcW w:type="dxa" w:w="3600"/>
            <w:tcMar>
              <w:top w:w="100" w:type="dxa"/>
              <w:start w:w="130" w:type="dxa"/>
              <w:bottom w:w="100" w:type="dxa"/>
              <w:end w:w="130" w:type="dxa"/>
            </w:tcMar>
            <w:vAlign w:val="center"/>
          </w:tcPr>
          <w:p>
            <w:pPr>
              <w:spacing w:after="0" w:line="264" w:lineRule="auto"/>
            </w:pPr>
            <w:r>
              <w:rPr>
                <w:rFonts w:ascii="Calibri" w:hAnsi="Calibri"/>
                <w:b w:val="0"/>
                <w:i w:val="0"/>
                <w:color w:val="1F2930"/>
                <w:sz w:val="18"/>
              </w:rPr>
              <w:t>Recovered PSFs / Confirmed PSFs</w:t>
            </w:r>
          </w:p>
        </w:tc>
        <w:tc>
          <w:tcPr>
            <w:tcW w:type="dxa" w:w="3560"/>
            <w:tcMar>
              <w:top w:w="100" w:type="dxa"/>
              <w:start w:w="130" w:type="dxa"/>
              <w:bottom w:w="100" w:type="dxa"/>
              <w:end w:w="130" w:type="dxa"/>
            </w:tcMar>
            <w:vAlign w:val="center"/>
          </w:tcPr>
          <w:p>
            <w:pPr>
              <w:spacing w:after="0" w:line="264" w:lineRule="auto"/>
            </w:pPr>
            <w:r>
              <w:rPr>
                <w:rFonts w:ascii="Calibri" w:hAnsi="Calibri"/>
                <w:b w:val="0"/>
                <w:i w:val="0"/>
                <w:color w:val="1F2930"/>
                <w:sz w:val="18"/>
              </w:rPr>
              <w:t>Report with case volume</w:t>
            </w:r>
          </w:p>
        </w:tc>
      </w:tr>
      <w:tr>
        <w:tc>
          <w:tcPr>
            <w:tcW w:type="dxa" w:w="22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Dollar recovery rate</w:t>
            </w:r>
          </w:p>
        </w:tc>
        <w:tc>
          <w:tcPr>
            <w:tcW w:type="dxa" w:w="36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Recovered Revenue / Revenue at Risk</w:t>
            </w:r>
          </w:p>
        </w:tc>
        <w:tc>
          <w:tcPr>
            <w:tcW w:type="dxa" w:w="35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Cap recovery at validated exposure unless separately justified</w:t>
            </w:r>
          </w:p>
        </w:tc>
      </w:tr>
      <w:tr>
        <w:tc>
          <w:tcPr>
            <w:tcW w:type="dxa" w:w="2200"/>
            <w:tcMar>
              <w:top w:w="100" w:type="dxa"/>
              <w:start w:w="130" w:type="dxa"/>
              <w:bottom w:w="100" w:type="dxa"/>
              <w:end w:w="130" w:type="dxa"/>
            </w:tcMar>
            <w:vAlign w:val="center"/>
          </w:tcPr>
          <w:p>
            <w:pPr>
              <w:spacing w:after="0" w:line="264" w:lineRule="auto"/>
            </w:pPr>
            <w:r>
              <w:rPr>
                <w:rFonts w:ascii="Calibri" w:hAnsi="Calibri"/>
                <w:b/>
                <w:i w:val="0"/>
                <w:color w:val="1F2930"/>
                <w:sz w:val="18"/>
              </w:rPr>
              <w:t>Time to recovery</w:t>
            </w:r>
          </w:p>
        </w:tc>
        <w:tc>
          <w:tcPr>
            <w:tcW w:type="dxa" w:w="3600"/>
            <w:tcMar>
              <w:top w:w="100" w:type="dxa"/>
              <w:start w:w="130" w:type="dxa"/>
              <w:bottom w:w="100" w:type="dxa"/>
              <w:end w:w="130" w:type="dxa"/>
            </w:tcMar>
            <w:vAlign w:val="center"/>
          </w:tcPr>
          <w:p>
            <w:pPr>
              <w:spacing w:after="0" w:line="264" w:lineRule="auto"/>
            </w:pPr>
            <w:r>
              <w:rPr>
                <w:rFonts w:ascii="Calibri" w:hAnsi="Calibri"/>
                <w:b w:val="0"/>
                <w:i w:val="0"/>
                <w:color w:val="1F2930"/>
                <w:sz w:val="18"/>
              </w:rPr>
              <w:t>Closed timestamp - PSF opened timestamp</w:t>
            </w:r>
          </w:p>
        </w:tc>
        <w:tc>
          <w:tcPr>
            <w:tcW w:type="dxa" w:w="3560"/>
            <w:tcMar>
              <w:top w:w="100" w:type="dxa"/>
              <w:start w:w="130" w:type="dxa"/>
              <w:bottom w:w="100" w:type="dxa"/>
              <w:end w:w="130" w:type="dxa"/>
            </w:tcMar>
            <w:vAlign w:val="center"/>
          </w:tcPr>
          <w:p>
            <w:pPr>
              <w:spacing w:after="0" w:line="264" w:lineRule="auto"/>
            </w:pPr>
            <w:r>
              <w:rPr>
                <w:rFonts w:ascii="Calibri" w:hAnsi="Calibri"/>
                <w:b w:val="0"/>
                <w:i w:val="0"/>
                <w:color w:val="1F2930"/>
                <w:sz w:val="18"/>
              </w:rPr>
              <w:t>Use median and 90th percentile</w:t>
            </w:r>
          </w:p>
        </w:tc>
      </w:tr>
    </w:tbl>
    <w:p>
      <w:pPr>
        <w:spacing w:after="40"/>
      </w:pPr>
    </w:p>
    <w:p>
      <w:r>
        <w:br w:type="page"/>
      </w:r>
    </w:p>
    <w:p>
      <w:pPr>
        <w:keepLines/>
        <w:spacing w:before="0" w:after="80" w:line="240" w:lineRule="auto"/>
      </w:pPr>
      <w:r>
        <w:rPr>
          <w:rFonts w:ascii="Calibri" w:hAnsi="Calibri"/>
          <w:b/>
          <w:i w:val="0"/>
          <w:caps/>
          <w:color w:val="F66F61"/>
          <w:sz w:val="18"/>
        </w:rPr>
        <w:t>SECTION 07</w:t>
      </w:r>
    </w:p>
    <w:p>
      <w:pPr>
        <w:pStyle w:val="Heading1"/>
        <w:keepNext/>
      </w:pPr>
      <w:r>
        <w:t>Revenue, DME cost and contribution-margin methodology</w:t>
      </w:r>
    </w:p>
    <w:p>
      <w:pPr>
        <w:keepLines w:val="0"/>
        <w:spacing w:before="0" w:after="240" w:line="300" w:lineRule="auto"/>
      </w:pPr>
      <w:r>
        <w:rPr>
          <w:rFonts w:ascii="Calibri" w:hAnsi="Calibri"/>
          <w:b w:val="0"/>
          <w:i w:val="0"/>
          <w:color w:val="68757D"/>
          <w:sz w:val="23"/>
        </w:rPr>
        <w:t>The financial view connects care operations to a consistent, time-bounded economic definition.</w:t>
      </w:r>
    </w:p>
    <w:p>
      <w:pPr>
        <w:pStyle w:val="Heading2"/>
        <w:keepNext/>
      </w:pPr>
      <w:r>
        <w:t>Core definitions</w:t>
      </w:r>
    </w:p>
    <w:tbl>
      <w:tblPr>
        <w:tblStyle w:val="TableGrid"/>
        <w:tblW w:type="dxa" w:w="9360"/>
        <w:tblLayout w:type="fixed"/>
        <w:tblLook w:firstColumn="1" w:firstRow="1" w:lastColumn="0" w:lastRow="0" w:noHBand="0" w:noVBand="1" w:val="04A0"/>
        <w:jc w:val="left"/>
        <w:tblInd w:w="120" w:type="dxa"/>
      </w:tblPr>
      <w:tblGrid>
        <w:gridCol w:w="2200"/>
        <w:gridCol w:w="4100"/>
        <w:gridCol w:w="3060"/>
      </w:tblGrid>
      <w:tr>
        <w:trPr>
          <w:tblHeader w:val="true"/>
        </w:trPr>
        <w:tc>
          <w:tcPr>
            <w:tcW w:type="dxa" w:w="22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Measure</w:t>
            </w:r>
          </w:p>
        </w:tc>
        <w:tc>
          <w:tcPr>
            <w:tcW w:type="dxa" w:w="41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Prototype definition</w:t>
            </w:r>
          </w:p>
        </w:tc>
        <w:tc>
          <w:tcPr>
            <w:tcW w:type="dxa" w:w="306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Pilot control</w:t>
            </w:r>
          </w:p>
        </w:tc>
      </w:tr>
      <w:tr>
        <w:tc>
          <w:tcPr>
            <w:tcW w:type="dxa" w:w="2200"/>
            <w:tcMar>
              <w:top w:w="100" w:type="dxa"/>
              <w:start w:w="130" w:type="dxa"/>
              <w:bottom w:w="100" w:type="dxa"/>
              <w:end w:w="130" w:type="dxa"/>
            </w:tcMar>
            <w:vAlign w:val="center"/>
          </w:tcPr>
          <w:p>
            <w:pPr>
              <w:spacing w:after="0" w:line="264" w:lineRule="auto"/>
            </w:pPr>
            <w:r>
              <w:rPr>
                <w:rFonts w:ascii="Calibri" w:hAnsi="Calibri"/>
                <w:b/>
                <w:i w:val="0"/>
                <w:color w:val="1F2930"/>
                <w:sz w:val="17"/>
              </w:rPr>
              <w:t>Revenue</w:t>
            </w:r>
          </w:p>
        </w:tc>
        <w:tc>
          <w:tcPr>
            <w:tcW w:type="dxa" w:w="4100"/>
            <w:tcMar>
              <w:top w:w="100" w:type="dxa"/>
              <w:start w:w="130" w:type="dxa"/>
              <w:bottom w:w="100" w:type="dxa"/>
              <w:end w:w="130" w:type="dxa"/>
            </w:tcMar>
            <w:vAlign w:val="center"/>
          </w:tcPr>
          <w:p>
            <w:pPr>
              <w:spacing w:after="0" w:line="264" w:lineRule="auto"/>
            </w:pPr>
            <w:r>
              <w:rPr>
                <w:rFonts w:ascii="Calibri" w:hAnsi="Calibri"/>
                <w:b w:val="0"/>
                <w:i w:val="0"/>
                <w:color w:val="1F2930"/>
                <w:sz w:val="17"/>
              </w:rPr>
              <w:t>Recognized or eligible episode revenue in the selected period</w:t>
            </w:r>
          </w:p>
        </w:tc>
        <w:tc>
          <w:tcPr>
            <w:tcW w:type="dxa" w:w="3060"/>
            <w:tcMar>
              <w:top w:w="100" w:type="dxa"/>
              <w:start w:w="130" w:type="dxa"/>
              <w:bottom w:w="100" w:type="dxa"/>
              <w:end w:w="130" w:type="dxa"/>
            </w:tcMar>
            <w:vAlign w:val="center"/>
          </w:tcPr>
          <w:p>
            <w:pPr>
              <w:spacing w:after="0" w:line="264" w:lineRule="auto"/>
            </w:pPr>
            <w:r>
              <w:rPr>
                <w:rFonts w:ascii="Calibri" w:hAnsi="Calibri"/>
                <w:b w:val="0"/>
                <w:i w:val="0"/>
                <w:color w:val="1F2930"/>
                <w:sz w:val="17"/>
              </w:rPr>
              <w:t>Finance-owned source and recognition rule</w:t>
            </w:r>
          </w:p>
        </w:tc>
      </w:tr>
      <w:tr>
        <w:tc>
          <w:tcPr>
            <w:tcW w:type="dxa" w:w="22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Direct DME cost</w:t>
            </w:r>
          </w:p>
        </w:tc>
        <w:tc>
          <w:tcPr>
            <w:tcW w:type="dxa" w:w="41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Contracted equipment, delivery, rental and approved related direct charges</w:t>
            </w:r>
          </w:p>
        </w:tc>
        <w:tc>
          <w:tcPr>
            <w:tcW w:type="dxa" w:w="30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Reconciled vendor invoice/order linkage</w:t>
            </w:r>
          </w:p>
        </w:tc>
      </w:tr>
      <w:tr>
        <w:tc>
          <w:tcPr>
            <w:tcW w:type="dxa" w:w="2200"/>
            <w:tcMar>
              <w:top w:w="100" w:type="dxa"/>
              <w:start w:w="130" w:type="dxa"/>
              <w:bottom w:w="100" w:type="dxa"/>
              <w:end w:w="130" w:type="dxa"/>
            </w:tcMar>
            <w:vAlign w:val="center"/>
          </w:tcPr>
          <w:p>
            <w:pPr>
              <w:spacing w:after="0" w:line="264" w:lineRule="auto"/>
            </w:pPr>
            <w:r>
              <w:rPr>
                <w:rFonts w:ascii="Calibri" w:hAnsi="Calibri"/>
                <w:b/>
                <w:i w:val="0"/>
                <w:color w:val="1F2930"/>
                <w:sz w:val="17"/>
              </w:rPr>
              <w:t>Contribution margin</w:t>
            </w:r>
          </w:p>
        </w:tc>
        <w:tc>
          <w:tcPr>
            <w:tcW w:type="dxa" w:w="4100"/>
            <w:tcMar>
              <w:top w:w="100" w:type="dxa"/>
              <w:start w:w="130" w:type="dxa"/>
              <w:bottom w:w="100" w:type="dxa"/>
              <w:end w:w="130" w:type="dxa"/>
            </w:tcMar>
            <w:vAlign w:val="center"/>
          </w:tcPr>
          <w:p>
            <w:pPr>
              <w:spacing w:after="0" w:line="264" w:lineRule="auto"/>
            </w:pPr>
            <w:r>
              <w:rPr>
                <w:rFonts w:ascii="Calibri" w:hAnsi="Calibri"/>
                <w:b w:val="0"/>
                <w:i w:val="0"/>
                <w:color w:val="1F2930"/>
                <w:sz w:val="17"/>
              </w:rPr>
              <w:t>Revenue - Direct DME Cost</w:t>
            </w:r>
          </w:p>
        </w:tc>
        <w:tc>
          <w:tcPr>
            <w:tcW w:type="dxa" w:w="3060"/>
            <w:tcMar>
              <w:top w:w="100" w:type="dxa"/>
              <w:start w:w="130" w:type="dxa"/>
              <w:bottom w:w="100" w:type="dxa"/>
              <w:end w:w="130" w:type="dxa"/>
            </w:tcMar>
            <w:vAlign w:val="center"/>
          </w:tcPr>
          <w:p>
            <w:pPr>
              <w:spacing w:after="0" w:line="264" w:lineRule="auto"/>
            </w:pPr>
            <w:r>
              <w:rPr>
                <w:rFonts w:ascii="Calibri" w:hAnsi="Calibri"/>
                <w:b w:val="0"/>
                <w:i w:val="0"/>
                <w:color w:val="1F2930"/>
                <w:sz w:val="17"/>
              </w:rPr>
              <w:t>Add other agreed variable costs before production reporting</w:t>
            </w:r>
          </w:p>
        </w:tc>
      </w:tr>
      <w:tr>
        <w:tc>
          <w:tcPr>
            <w:tcW w:type="dxa" w:w="22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Contribution margin %</w:t>
            </w:r>
          </w:p>
        </w:tc>
        <w:tc>
          <w:tcPr>
            <w:tcW w:type="dxa" w:w="41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Contribution Margin / Revenue</w:t>
            </w:r>
          </w:p>
        </w:tc>
        <w:tc>
          <w:tcPr>
            <w:tcW w:type="dxa" w:w="30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Do not calculate when revenue is zero</w:t>
            </w:r>
          </w:p>
        </w:tc>
      </w:tr>
      <w:tr>
        <w:tc>
          <w:tcPr>
            <w:tcW w:type="dxa" w:w="2200"/>
            <w:tcMar>
              <w:top w:w="100" w:type="dxa"/>
              <w:start w:w="130" w:type="dxa"/>
              <w:bottom w:w="100" w:type="dxa"/>
              <w:end w:w="130" w:type="dxa"/>
            </w:tcMar>
            <w:vAlign w:val="center"/>
          </w:tcPr>
          <w:p>
            <w:pPr>
              <w:spacing w:after="0" w:line="264" w:lineRule="auto"/>
            </w:pPr>
            <w:r>
              <w:rPr>
                <w:rFonts w:ascii="Calibri" w:hAnsi="Calibri"/>
                <w:b/>
                <w:i w:val="0"/>
                <w:color w:val="1F2930"/>
                <w:sz w:val="17"/>
              </w:rPr>
              <w:t>Recovered revenue</w:t>
            </w:r>
          </w:p>
        </w:tc>
        <w:tc>
          <w:tcPr>
            <w:tcW w:type="dxa" w:w="4100"/>
            <w:tcMar>
              <w:top w:w="100" w:type="dxa"/>
              <w:start w:w="130" w:type="dxa"/>
              <w:bottom w:w="100" w:type="dxa"/>
              <w:end w:w="130" w:type="dxa"/>
            </w:tcMar>
            <w:vAlign w:val="center"/>
          </w:tcPr>
          <w:p>
            <w:pPr>
              <w:spacing w:after="0" w:line="264" w:lineRule="auto"/>
            </w:pPr>
            <w:r>
              <w:rPr>
                <w:rFonts w:ascii="Calibri" w:hAnsi="Calibri"/>
                <w:b w:val="0"/>
                <w:i w:val="0"/>
                <w:color w:val="1F2930"/>
                <w:sz w:val="17"/>
              </w:rPr>
              <w:t>Verified value preserved, credited or reversed through PSF recovery</w:t>
            </w:r>
          </w:p>
        </w:tc>
        <w:tc>
          <w:tcPr>
            <w:tcW w:type="dxa" w:w="3060"/>
            <w:tcMar>
              <w:top w:w="100" w:type="dxa"/>
              <w:start w:w="130" w:type="dxa"/>
              <w:bottom w:w="100" w:type="dxa"/>
              <w:end w:w="130" w:type="dxa"/>
            </w:tcMar>
            <w:vAlign w:val="center"/>
          </w:tcPr>
          <w:p>
            <w:pPr>
              <w:spacing w:after="0" w:line="264" w:lineRule="auto"/>
            </w:pPr>
            <w:r>
              <w:rPr>
                <w:rFonts w:ascii="Calibri" w:hAnsi="Calibri"/>
                <w:b w:val="0"/>
                <w:i w:val="0"/>
                <w:color w:val="1F2930"/>
                <w:sz w:val="17"/>
              </w:rPr>
              <w:t>Case-level evidence and no double counting</w:t>
            </w:r>
          </w:p>
        </w:tc>
      </w:tr>
    </w:tbl>
    <w:p>
      <w:pPr>
        <w:spacing w:after="40"/>
      </w:pPr>
    </w:p>
    <w:p>
      <w:pPr>
        <w:pStyle w:val="Heading2"/>
        <w:keepNext/>
      </w:pPr>
      <w:r>
        <w:t>Reporting periods</w:t>
      </w:r>
    </w:p>
    <w:p>
      <w:pPr>
        <w:keepLines w:val="0"/>
        <w:spacing w:before="0" w:after="160" w:line="320" w:lineRule="auto"/>
      </w:pPr>
      <w:r>
        <w:rPr>
          <w:rFonts w:ascii="Calibri" w:hAnsi="Calibri"/>
          <w:b w:val="0"/>
          <w:i w:val="0"/>
          <w:color w:val="1F2930"/>
          <w:sz w:val="22"/>
        </w:rPr>
        <w:t>Weekly, monthly, quarterly and annual views use the same transaction grain and period-assignment rule. Orders, credits and recovered revenue are assigned by the approved finance date convention (service date, invoice date or recognized date) and documented before the pilot begins.</w:t>
      </w:r>
    </w:p>
    <w:p>
      <w:pPr>
        <w:pStyle w:val="Heading2"/>
        <w:keepNext/>
      </w:pPr>
      <w:r>
        <w:t>Recommended bridge</w:t>
      </w:r>
    </w:p>
    <w:tbl>
      <w:tblPr>
        <w:tblStyle w:val="TableGrid"/>
        <w:tblW w:type="dxa" w:w="9360"/>
        <w:tblLayout w:type="fixed"/>
        <w:tblLook w:firstColumn="1" w:firstRow="1" w:lastColumn="0" w:lastRow="0" w:noHBand="0" w:noVBand="1" w:val="04A0"/>
        <w:jc w:val="left"/>
        <w:tblInd w:w="120" w:type="dxa"/>
      </w:tblPr>
      <w:tblGrid>
        <w:gridCol w:w="3400"/>
        <w:gridCol w:w="1100"/>
        <w:gridCol w:w="4860"/>
      </w:tblGrid>
      <w:tr>
        <w:trPr>
          <w:tblHeader w:val="true"/>
        </w:trPr>
        <w:tc>
          <w:tcPr>
            <w:tcW w:type="dxa" w:w="340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Bridge line</w:t>
            </w:r>
          </w:p>
        </w:tc>
        <w:tc>
          <w:tcPr>
            <w:tcW w:type="dxa" w:w="110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Direction</w:t>
            </w:r>
          </w:p>
        </w:tc>
        <w:tc>
          <w:tcPr>
            <w:tcW w:type="dxa" w:w="486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Interpretation</w:t>
            </w:r>
          </w:p>
        </w:tc>
      </w:tr>
      <w:tr>
        <w:tc>
          <w:tcPr>
            <w:tcW w:type="dxa" w:w="3400"/>
            <w:tcMar>
              <w:top w:w="100" w:type="dxa"/>
              <w:start w:w="130" w:type="dxa"/>
              <w:bottom w:w="100" w:type="dxa"/>
              <w:end w:w="130" w:type="dxa"/>
            </w:tcMar>
            <w:vAlign w:val="center"/>
          </w:tcPr>
          <w:p>
            <w:pPr>
              <w:spacing w:after="0" w:line="264" w:lineRule="auto"/>
            </w:pPr>
            <w:r>
              <w:rPr>
                <w:rFonts w:ascii="Calibri" w:hAnsi="Calibri"/>
                <w:b/>
                <w:i w:val="0"/>
                <w:color w:val="1F2930"/>
                <w:sz w:val="18"/>
              </w:rPr>
              <w:t>Starting contribution margin</w:t>
            </w:r>
          </w:p>
        </w:tc>
        <w:tc>
          <w:tcPr>
            <w:tcW w:type="dxa" w:w="1100"/>
            <w:tcMar>
              <w:top w:w="100" w:type="dxa"/>
              <w:start w:w="130" w:type="dxa"/>
              <w:bottom w:w="100" w:type="dxa"/>
              <w:end w:w="130" w:type="dxa"/>
            </w:tcMar>
            <w:vAlign w:val="center"/>
          </w:tcPr>
          <w:p>
            <w:pPr>
              <w:spacing w:after="0" w:line="264" w:lineRule="auto"/>
            </w:pPr>
            <w:r>
              <w:rPr>
                <w:rFonts w:ascii="Calibri" w:hAnsi="Calibri"/>
                <w:b w:val="0"/>
                <w:i w:val="0"/>
                <w:color w:val="1F2930"/>
                <w:sz w:val="18"/>
              </w:rPr>
              <w:t>Baseline</w:t>
            </w:r>
          </w:p>
        </w:tc>
        <w:tc>
          <w:tcPr>
            <w:tcW w:type="dxa" w:w="4860"/>
            <w:tcMar>
              <w:top w:w="100" w:type="dxa"/>
              <w:start w:w="130" w:type="dxa"/>
              <w:bottom w:w="100" w:type="dxa"/>
              <w:end w:w="130" w:type="dxa"/>
            </w:tcMar>
            <w:vAlign w:val="center"/>
          </w:tcPr>
          <w:p>
            <w:pPr>
              <w:spacing w:after="0" w:line="264" w:lineRule="auto"/>
            </w:pPr>
            <w:r>
              <w:rPr>
                <w:rFonts w:ascii="Calibri" w:hAnsi="Calibri"/>
                <w:b w:val="0"/>
                <w:i w:val="0"/>
                <w:color w:val="1F2930"/>
                <w:sz w:val="18"/>
              </w:rPr>
              <w:t>Expected margin without the intervention</w:t>
            </w:r>
          </w:p>
        </w:tc>
      </w:tr>
      <w:tr>
        <w:tc>
          <w:tcPr>
            <w:tcW w:type="dxa" w:w="34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Duplicate / unnecessary DME avoided</w:t>
            </w:r>
          </w:p>
        </w:tc>
        <w:tc>
          <w:tcPr>
            <w:tcW w:type="dxa" w:w="11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w:t>
            </w:r>
          </w:p>
        </w:tc>
        <w:tc>
          <w:tcPr>
            <w:tcW w:type="dxa" w:w="48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Direct cost not incurred</w:t>
            </w:r>
          </w:p>
        </w:tc>
      </w:tr>
      <w:tr>
        <w:tc>
          <w:tcPr>
            <w:tcW w:type="dxa" w:w="3400"/>
            <w:tcMar>
              <w:top w:w="100" w:type="dxa"/>
              <w:start w:w="130" w:type="dxa"/>
              <w:bottom w:w="100" w:type="dxa"/>
              <w:end w:w="130" w:type="dxa"/>
            </w:tcMar>
            <w:vAlign w:val="center"/>
          </w:tcPr>
          <w:p>
            <w:pPr>
              <w:spacing w:after="0" w:line="264" w:lineRule="auto"/>
            </w:pPr>
            <w:r>
              <w:rPr>
                <w:rFonts w:ascii="Calibri" w:hAnsi="Calibri"/>
                <w:b/>
                <w:i w:val="0"/>
                <w:color w:val="1F2930"/>
                <w:sz w:val="18"/>
              </w:rPr>
              <w:t>Rental days avoided</w:t>
            </w:r>
          </w:p>
        </w:tc>
        <w:tc>
          <w:tcPr>
            <w:tcW w:type="dxa" w:w="1100"/>
            <w:tcMar>
              <w:top w:w="100" w:type="dxa"/>
              <w:start w:w="130" w:type="dxa"/>
              <w:bottom w:w="100" w:type="dxa"/>
              <w:end w:w="130" w:type="dxa"/>
            </w:tcMar>
            <w:vAlign w:val="center"/>
          </w:tcPr>
          <w:p>
            <w:pPr>
              <w:spacing w:after="0" w:line="264" w:lineRule="auto"/>
            </w:pPr>
            <w:r>
              <w:rPr>
                <w:rFonts w:ascii="Calibri" w:hAnsi="Calibri"/>
                <w:b w:val="0"/>
                <w:i w:val="0"/>
                <w:color w:val="1F2930"/>
                <w:sz w:val="18"/>
              </w:rPr>
              <w:t>+</w:t>
            </w:r>
          </w:p>
        </w:tc>
        <w:tc>
          <w:tcPr>
            <w:tcW w:type="dxa" w:w="4860"/>
            <w:tcMar>
              <w:top w:w="100" w:type="dxa"/>
              <w:start w:w="130" w:type="dxa"/>
              <w:bottom w:w="100" w:type="dxa"/>
              <w:end w:w="130" w:type="dxa"/>
            </w:tcMar>
            <w:vAlign w:val="center"/>
          </w:tcPr>
          <w:p>
            <w:pPr>
              <w:spacing w:after="0" w:line="264" w:lineRule="auto"/>
            </w:pPr>
            <w:r>
              <w:rPr>
                <w:rFonts w:ascii="Calibri" w:hAnsi="Calibri"/>
                <w:b w:val="0"/>
                <w:i w:val="0"/>
                <w:color w:val="1F2930"/>
                <w:sz w:val="18"/>
              </w:rPr>
              <w:t>Pickup and long-stay savings</w:t>
            </w:r>
          </w:p>
        </w:tc>
      </w:tr>
      <w:tr>
        <w:tc>
          <w:tcPr>
            <w:tcW w:type="dxa" w:w="34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Benchmark improvement</w:t>
            </w:r>
          </w:p>
        </w:tc>
        <w:tc>
          <w:tcPr>
            <w:tcW w:type="dxa" w:w="11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w:t>
            </w:r>
          </w:p>
        </w:tc>
        <w:tc>
          <w:tcPr>
            <w:tcW w:type="dxa" w:w="48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Lower direct cost for equivalent fit</w:t>
            </w:r>
          </w:p>
        </w:tc>
      </w:tr>
      <w:tr>
        <w:tc>
          <w:tcPr>
            <w:tcW w:type="dxa" w:w="3400"/>
            <w:tcMar>
              <w:top w:w="100" w:type="dxa"/>
              <w:start w:w="130" w:type="dxa"/>
              <w:bottom w:w="100" w:type="dxa"/>
              <w:end w:w="130" w:type="dxa"/>
            </w:tcMar>
            <w:vAlign w:val="center"/>
          </w:tcPr>
          <w:p>
            <w:pPr>
              <w:spacing w:after="0" w:line="264" w:lineRule="auto"/>
            </w:pPr>
            <w:r>
              <w:rPr>
                <w:rFonts w:ascii="Calibri" w:hAnsi="Calibri"/>
                <w:b/>
                <w:i w:val="0"/>
                <w:color w:val="1F2930"/>
                <w:sz w:val="18"/>
              </w:rPr>
              <w:t>PSF revenue recovered</w:t>
            </w:r>
          </w:p>
        </w:tc>
        <w:tc>
          <w:tcPr>
            <w:tcW w:type="dxa" w:w="1100"/>
            <w:tcMar>
              <w:top w:w="100" w:type="dxa"/>
              <w:start w:w="130" w:type="dxa"/>
              <w:bottom w:w="100" w:type="dxa"/>
              <w:end w:w="130" w:type="dxa"/>
            </w:tcMar>
            <w:vAlign w:val="center"/>
          </w:tcPr>
          <w:p>
            <w:pPr>
              <w:spacing w:after="0" w:line="264" w:lineRule="auto"/>
            </w:pPr>
            <w:r>
              <w:rPr>
                <w:rFonts w:ascii="Calibri" w:hAnsi="Calibri"/>
                <w:b w:val="0"/>
                <w:i w:val="0"/>
                <w:color w:val="1F2930"/>
                <w:sz w:val="18"/>
              </w:rPr>
              <w:t>+</w:t>
            </w:r>
          </w:p>
        </w:tc>
        <w:tc>
          <w:tcPr>
            <w:tcW w:type="dxa" w:w="4860"/>
            <w:tcMar>
              <w:top w:w="100" w:type="dxa"/>
              <w:start w:w="130" w:type="dxa"/>
              <w:bottom w:w="100" w:type="dxa"/>
              <w:end w:w="130" w:type="dxa"/>
            </w:tcMar>
            <w:vAlign w:val="center"/>
          </w:tcPr>
          <w:p>
            <w:pPr>
              <w:spacing w:after="0" w:line="264" w:lineRule="auto"/>
            </w:pPr>
            <w:r>
              <w:rPr>
                <w:rFonts w:ascii="Calibri" w:hAnsi="Calibri"/>
                <w:b w:val="0"/>
                <w:i w:val="0"/>
                <w:color w:val="1F2930"/>
                <w:sz w:val="18"/>
              </w:rPr>
              <w:t>Verified preserved or recovered value</w:t>
            </w:r>
          </w:p>
        </w:tc>
      </w:tr>
      <w:tr>
        <w:tc>
          <w:tcPr>
            <w:tcW w:type="dxa" w:w="34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Program operating cost</w:t>
            </w:r>
          </w:p>
        </w:tc>
        <w:tc>
          <w:tcPr>
            <w:tcW w:type="dxa" w:w="11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w:t>
            </w:r>
          </w:p>
        </w:tc>
        <w:tc>
          <w:tcPr>
            <w:tcW w:type="dxa" w:w="48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Software, integration and operating labor</w:t>
            </w:r>
          </w:p>
        </w:tc>
      </w:tr>
      <w:tr>
        <w:tc>
          <w:tcPr>
            <w:tcW w:type="dxa" w:w="3400"/>
            <w:tcMar>
              <w:top w:w="100" w:type="dxa"/>
              <w:start w:w="130" w:type="dxa"/>
              <w:bottom w:w="100" w:type="dxa"/>
              <w:end w:w="130" w:type="dxa"/>
            </w:tcMar>
            <w:vAlign w:val="center"/>
          </w:tcPr>
          <w:p>
            <w:pPr>
              <w:spacing w:after="0" w:line="264" w:lineRule="auto"/>
            </w:pPr>
            <w:r>
              <w:rPr>
                <w:rFonts w:ascii="Calibri" w:hAnsi="Calibri"/>
                <w:b/>
                <w:i w:val="0"/>
                <w:color w:val="1F2930"/>
                <w:sz w:val="18"/>
              </w:rPr>
              <w:t>Net contribution impact</w:t>
            </w:r>
          </w:p>
        </w:tc>
        <w:tc>
          <w:tcPr>
            <w:tcW w:type="dxa" w:w="1100"/>
            <w:tcMar>
              <w:top w:w="100" w:type="dxa"/>
              <w:start w:w="130" w:type="dxa"/>
              <w:bottom w:w="100" w:type="dxa"/>
              <w:end w:w="130" w:type="dxa"/>
            </w:tcMar>
            <w:vAlign w:val="center"/>
          </w:tcPr>
          <w:p>
            <w:pPr>
              <w:spacing w:after="0" w:line="264" w:lineRule="auto"/>
            </w:pPr>
            <w:r>
              <w:rPr>
                <w:rFonts w:ascii="Calibri" w:hAnsi="Calibri"/>
                <w:b w:val="0"/>
                <w:i w:val="0"/>
                <w:color w:val="1F2930"/>
                <w:sz w:val="18"/>
              </w:rPr>
              <w:t>Result</w:t>
            </w:r>
          </w:p>
        </w:tc>
        <w:tc>
          <w:tcPr>
            <w:tcW w:type="dxa" w:w="4860"/>
            <w:tcMar>
              <w:top w:w="100" w:type="dxa"/>
              <w:start w:w="130" w:type="dxa"/>
              <w:bottom w:w="100" w:type="dxa"/>
              <w:end w:w="130" w:type="dxa"/>
            </w:tcMar>
            <w:vAlign w:val="center"/>
          </w:tcPr>
          <w:p>
            <w:pPr>
              <w:spacing w:after="0" w:line="264" w:lineRule="auto"/>
            </w:pPr>
            <w:r>
              <w:rPr>
                <w:rFonts w:ascii="Calibri" w:hAnsi="Calibri"/>
                <w:b w:val="0"/>
                <w:i w:val="0"/>
                <w:color w:val="1F2930"/>
                <w:sz w:val="18"/>
              </w:rPr>
              <w:t>Economic case for scale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0ED"/>
          </w:tcPr>
          <w:p>
            <w:pPr>
              <w:spacing w:after="40" w:line="276" w:lineRule="auto"/>
            </w:pPr>
            <w:r>
              <w:rPr>
                <w:rFonts w:ascii="Calibri" w:hAnsi="Calibri"/>
                <w:b/>
                <w:i w:val="0"/>
                <w:color w:val="F66F61"/>
                <w:sz w:val="17"/>
              </w:rPr>
              <w:t>FOUNDER QUESTION</w:t>
            </w:r>
          </w:p>
          <w:p>
            <w:pPr>
              <w:spacing w:after="0" w:line="288" w:lineRule="auto"/>
            </w:pPr>
            <w:r>
              <w:rPr>
                <w:rFonts w:ascii="Calibri" w:hAnsi="Calibri"/>
                <w:b/>
                <w:i w:val="0"/>
                <w:color w:val="1F2930"/>
                <w:sz w:val="22"/>
              </w:rPr>
              <w:t>Does the measurable net contribution impact, combined with care and control benefits, justify the cost and change required to scale?</w:t>
            </w:r>
          </w:p>
        </w:tc>
      </w:tr>
    </w:tbl>
    <w:p>
      <w:pPr>
        <w:spacing w:after="40"/>
      </w:pPr>
    </w:p>
    <w:p>
      <w:r>
        <w:br w:type="page"/>
      </w:r>
    </w:p>
    <w:p>
      <w:pPr>
        <w:keepLines/>
        <w:spacing w:before="0" w:after="80" w:line="240" w:lineRule="auto"/>
      </w:pPr>
      <w:r>
        <w:rPr>
          <w:rFonts w:ascii="Calibri" w:hAnsi="Calibri"/>
          <w:b/>
          <w:i w:val="0"/>
          <w:caps/>
          <w:color w:val="F66F61"/>
          <w:sz w:val="18"/>
        </w:rPr>
        <w:t>SECTION 08</w:t>
      </w:r>
    </w:p>
    <w:p>
      <w:pPr>
        <w:pStyle w:val="Heading1"/>
        <w:keepNext/>
      </w:pPr>
      <w:r>
        <w:t>KPI and data dictionary</w:t>
      </w:r>
    </w:p>
    <w:p>
      <w:pPr>
        <w:keepLines w:val="0"/>
        <w:spacing w:before="0" w:after="240" w:line="300" w:lineRule="auto"/>
      </w:pPr>
      <w:r>
        <w:rPr>
          <w:rFonts w:ascii="Calibri" w:hAnsi="Calibri"/>
          <w:b w:val="0"/>
          <w:i w:val="0"/>
          <w:color w:val="68757D"/>
          <w:sz w:val="23"/>
        </w:rPr>
        <w:t>Each metric needs a named owner, source, formula and quality test before it becomes a management claim.</w:t>
      </w:r>
    </w:p>
    <w:tbl>
      <w:tblPr>
        <w:tblStyle w:val="TableGrid"/>
        <w:tblW w:type="dxa" w:w="9360"/>
        <w:tblLayout w:type="fixed"/>
        <w:tblLook w:firstColumn="1" w:firstRow="1" w:lastColumn="0" w:lastRow="0" w:noHBand="0" w:noVBand="1" w:val="04A0"/>
        <w:jc w:val="left"/>
        <w:tblInd w:w="120" w:type="dxa"/>
      </w:tblPr>
      <w:tblGrid>
        <w:gridCol w:w="2300"/>
        <w:gridCol w:w="4000"/>
        <w:gridCol w:w="1800"/>
        <w:gridCol w:w="1260"/>
      </w:tblGrid>
      <w:tr>
        <w:trPr>
          <w:tblHeader w:val="true"/>
        </w:trPr>
        <w:tc>
          <w:tcPr>
            <w:tcW w:type="dxa" w:w="23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KPI</w:t>
            </w:r>
          </w:p>
        </w:tc>
        <w:tc>
          <w:tcPr>
            <w:tcW w:type="dxa" w:w="40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Definition / calculation</w:t>
            </w:r>
          </w:p>
        </w:tc>
        <w:tc>
          <w:tcPr>
            <w:tcW w:type="dxa" w:w="18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Primary owner</w:t>
            </w:r>
          </w:p>
        </w:tc>
        <w:tc>
          <w:tcPr>
            <w:tcW w:type="dxa" w:w="126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Cadence</w:t>
            </w:r>
          </w:p>
        </w:tc>
      </w:tr>
      <w:tr>
        <w:tc>
          <w:tcPr>
            <w:tcW w:type="dxa" w:w="2300"/>
            <w:tcMar>
              <w:top w:w="100" w:type="dxa"/>
              <w:start w:w="130" w:type="dxa"/>
              <w:bottom w:w="100" w:type="dxa"/>
              <w:end w:w="130" w:type="dxa"/>
            </w:tcMar>
            <w:vAlign w:val="center"/>
          </w:tcPr>
          <w:p>
            <w:pPr>
              <w:spacing w:after="0" w:line="264" w:lineRule="auto"/>
            </w:pPr>
            <w:r>
              <w:rPr>
                <w:rFonts w:ascii="Calibri" w:hAnsi="Calibri"/>
                <w:b/>
                <w:i w:val="0"/>
                <w:color w:val="1F2930"/>
                <w:sz w:val="17"/>
              </w:rPr>
              <w:t>On-time delivery</w:t>
            </w:r>
          </w:p>
        </w:tc>
        <w:tc>
          <w:tcPr>
            <w:tcW w:type="dxa" w:w="4000"/>
            <w:tcMar>
              <w:top w:w="100" w:type="dxa"/>
              <w:start w:w="130" w:type="dxa"/>
              <w:bottom w:w="100" w:type="dxa"/>
              <w:end w:w="130" w:type="dxa"/>
            </w:tcMar>
            <w:vAlign w:val="center"/>
          </w:tcPr>
          <w:p>
            <w:pPr>
              <w:spacing w:after="0" w:line="264" w:lineRule="auto"/>
            </w:pPr>
            <w:r>
              <w:rPr>
                <w:rFonts w:ascii="Calibri" w:hAnsi="Calibri"/>
                <w:b w:val="0"/>
                <w:i w:val="0"/>
                <w:color w:val="1F2930"/>
                <w:sz w:val="17"/>
              </w:rPr>
              <w:t>Delivered within confirmed ETA / eligible deliveries</w:t>
            </w:r>
          </w:p>
        </w:tc>
        <w:tc>
          <w:tcPr>
            <w:tcW w:type="dxa" w:w="1800"/>
            <w:tcMar>
              <w:top w:w="100" w:type="dxa"/>
              <w:start w:w="130" w:type="dxa"/>
              <w:bottom w:w="100" w:type="dxa"/>
              <w:end w:w="130" w:type="dxa"/>
            </w:tcMar>
            <w:vAlign w:val="center"/>
          </w:tcPr>
          <w:p>
            <w:pPr>
              <w:spacing w:after="0" w:line="264" w:lineRule="auto"/>
            </w:pPr>
            <w:r>
              <w:rPr>
                <w:rFonts w:ascii="Calibri" w:hAnsi="Calibri"/>
                <w:b w:val="0"/>
                <w:i w:val="0"/>
                <w:color w:val="1F2930"/>
                <w:sz w:val="17"/>
              </w:rPr>
              <w:t>Operations</w:t>
            </w:r>
          </w:p>
        </w:tc>
        <w:tc>
          <w:tcPr>
            <w:tcW w:type="dxa" w:w="1260"/>
            <w:tcMar>
              <w:top w:w="100" w:type="dxa"/>
              <w:start w:w="130" w:type="dxa"/>
              <w:bottom w:w="100" w:type="dxa"/>
              <w:end w:w="130" w:type="dxa"/>
            </w:tcMar>
            <w:vAlign w:val="center"/>
          </w:tcPr>
          <w:p>
            <w:pPr>
              <w:spacing w:after="0" w:line="264" w:lineRule="auto"/>
            </w:pPr>
            <w:r>
              <w:rPr>
                <w:rFonts w:ascii="Calibri" w:hAnsi="Calibri"/>
                <w:b w:val="0"/>
                <w:i w:val="0"/>
                <w:color w:val="1F2930"/>
                <w:sz w:val="17"/>
              </w:rPr>
              <w:t>Weekly</w:t>
            </w:r>
          </w:p>
        </w:tc>
      </w:tr>
      <w:tr>
        <w:tc>
          <w:tcPr>
            <w:tcW w:type="dxa" w:w="23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ETA completeness</w:t>
            </w:r>
          </w:p>
        </w:tc>
        <w:tc>
          <w:tcPr>
            <w:tcW w:type="dxa" w:w="40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Dispatched items with visible ETA / dispatched items</w:t>
            </w:r>
          </w:p>
        </w:tc>
        <w:tc>
          <w:tcPr>
            <w:tcW w:type="dxa" w:w="18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Vendor Ops</w:t>
            </w:r>
          </w:p>
        </w:tc>
        <w:tc>
          <w:tcPr>
            <w:tcW w:type="dxa" w:w="12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Daily</w:t>
            </w:r>
          </w:p>
        </w:tc>
      </w:tr>
      <w:tr>
        <w:tc>
          <w:tcPr>
            <w:tcW w:type="dxa" w:w="2300"/>
            <w:tcMar>
              <w:top w:w="100" w:type="dxa"/>
              <w:start w:w="130" w:type="dxa"/>
              <w:bottom w:w="100" w:type="dxa"/>
              <w:end w:w="130" w:type="dxa"/>
            </w:tcMar>
            <w:vAlign w:val="center"/>
          </w:tcPr>
          <w:p>
            <w:pPr>
              <w:spacing w:after="0" w:line="264" w:lineRule="auto"/>
            </w:pPr>
            <w:r>
              <w:rPr>
                <w:rFonts w:ascii="Calibri" w:hAnsi="Calibri"/>
                <w:b/>
                <w:i w:val="0"/>
                <w:color w:val="1F2930"/>
                <w:sz w:val="17"/>
              </w:rPr>
              <w:t>Pickup ETA completeness</w:t>
            </w:r>
          </w:p>
        </w:tc>
        <w:tc>
          <w:tcPr>
            <w:tcW w:type="dxa" w:w="4000"/>
            <w:tcMar>
              <w:top w:w="100" w:type="dxa"/>
              <w:start w:w="130" w:type="dxa"/>
              <w:bottom w:w="100" w:type="dxa"/>
              <w:end w:w="130" w:type="dxa"/>
            </w:tcMar>
            <w:vAlign w:val="center"/>
          </w:tcPr>
          <w:p>
            <w:pPr>
              <w:spacing w:after="0" w:line="264" w:lineRule="auto"/>
            </w:pPr>
            <w:r>
              <w:rPr>
                <w:rFonts w:ascii="Calibri" w:hAnsi="Calibri"/>
                <w:b w:val="0"/>
                <w:i w:val="0"/>
                <w:color w:val="1F2930"/>
                <w:sz w:val="17"/>
              </w:rPr>
              <w:t>Open pickups with visible window / open pickups</w:t>
            </w:r>
          </w:p>
        </w:tc>
        <w:tc>
          <w:tcPr>
            <w:tcW w:type="dxa" w:w="1800"/>
            <w:tcMar>
              <w:top w:w="100" w:type="dxa"/>
              <w:start w:w="130" w:type="dxa"/>
              <w:bottom w:w="100" w:type="dxa"/>
              <w:end w:w="130" w:type="dxa"/>
            </w:tcMar>
            <w:vAlign w:val="center"/>
          </w:tcPr>
          <w:p>
            <w:pPr>
              <w:spacing w:after="0" w:line="264" w:lineRule="auto"/>
            </w:pPr>
            <w:r>
              <w:rPr>
                <w:rFonts w:ascii="Calibri" w:hAnsi="Calibri"/>
                <w:b w:val="0"/>
                <w:i w:val="0"/>
                <w:color w:val="1F2930"/>
                <w:sz w:val="17"/>
              </w:rPr>
              <w:t>Vendor Ops</w:t>
            </w:r>
          </w:p>
        </w:tc>
        <w:tc>
          <w:tcPr>
            <w:tcW w:type="dxa" w:w="1260"/>
            <w:tcMar>
              <w:top w:w="100" w:type="dxa"/>
              <w:start w:w="130" w:type="dxa"/>
              <w:bottom w:w="100" w:type="dxa"/>
              <w:end w:w="130" w:type="dxa"/>
            </w:tcMar>
            <w:vAlign w:val="center"/>
          </w:tcPr>
          <w:p>
            <w:pPr>
              <w:spacing w:after="0" w:line="264" w:lineRule="auto"/>
            </w:pPr>
            <w:r>
              <w:rPr>
                <w:rFonts w:ascii="Calibri" w:hAnsi="Calibri"/>
                <w:b w:val="0"/>
                <w:i w:val="0"/>
                <w:color w:val="1F2930"/>
                <w:sz w:val="17"/>
              </w:rPr>
              <w:t>Daily</w:t>
            </w:r>
          </w:p>
        </w:tc>
      </w:tr>
      <w:tr>
        <w:tc>
          <w:tcPr>
            <w:tcW w:type="dxa" w:w="23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Duplicate resolution rate</w:t>
            </w:r>
          </w:p>
        </w:tc>
        <w:tc>
          <w:tcPr>
            <w:tcW w:type="dxa" w:w="40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Resolved duplicate flags / detected flags</w:t>
            </w:r>
          </w:p>
        </w:tc>
        <w:tc>
          <w:tcPr>
            <w:tcW w:type="dxa" w:w="18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Clinical Ops</w:t>
            </w:r>
          </w:p>
        </w:tc>
        <w:tc>
          <w:tcPr>
            <w:tcW w:type="dxa" w:w="12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Weekly</w:t>
            </w:r>
          </w:p>
        </w:tc>
      </w:tr>
      <w:tr>
        <w:tc>
          <w:tcPr>
            <w:tcW w:type="dxa" w:w="2300"/>
            <w:tcMar>
              <w:top w:w="100" w:type="dxa"/>
              <w:start w:w="130" w:type="dxa"/>
              <w:bottom w:w="100" w:type="dxa"/>
              <w:end w:w="130" w:type="dxa"/>
            </w:tcMar>
            <w:vAlign w:val="center"/>
          </w:tcPr>
          <w:p>
            <w:pPr>
              <w:spacing w:after="0" w:line="264" w:lineRule="auto"/>
            </w:pPr>
            <w:r>
              <w:rPr>
                <w:rFonts w:ascii="Calibri" w:hAnsi="Calibri"/>
                <w:b/>
                <w:i w:val="0"/>
                <w:color w:val="1F2930"/>
                <w:sz w:val="17"/>
              </w:rPr>
              <w:t>Vendor verification rate</w:t>
            </w:r>
          </w:p>
        </w:tc>
        <w:tc>
          <w:tcPr>
            <w:tcW w:type="dxa" w:w="4000"/>
            <w:tcMar>
              <w:top w:w="100" w:type="dxa"/>
              <w:start w:w="130" w:type="dxa"/>
              <w:bottom w:w="100" w:type="dxa"/>
              <w:end w:w="130" w:type="dxa"/>
            </w:tcMar>
            <w:vAlign w:val="center"/>
          </w:tcPr>
          <w:p>
            <w:pPr>
              <w:spacing w:after="0" w:line="264" w:lineRule="auto"/>
            </w:pPr>
            <w:r>
              <w:rPr>
                <w:rFonts w:ascii="Calibri" w:hAnsi="Calibri"/>
                <w:b w:val="0"/>
                <w:i w:val="0"/>
                <w:color w:val="1F2930"/>
                <w:sz w:val="17"/>
              </w:rPr>
              <w:t>Required confirmations completed / required confirmations</w:t>
            </w:r>
          </w:p>
        </w:tc>
        <w:tc>
          <w:tcPr>
            <w:tcW w:type="dxa" w:w="1800"/>
            <w:tcMar>
              <w:top w:w="100" w:type="dxa"/>
              <w:start w:w="130" w:type="dxa"/>
              <w:bottom w:w="100" w:type="dxa"/>
              <w:end w:w="130" w:type="dxa"/>
            </w:tcMar>
            <w:vAlign w:val="center"/>
          </w:tcPr>
          <w:p>
            <w:pPr>
              <w:spacing w:after="0" w:line="264" w:lineRule="auto"/>
            </w:pPr>
            <w:r>
              <w:rPr>
                <w:rFonts w:ascii="Calibri" w:hAnsi="Calibri"/>
                <w:b w:val="0"/>
                <w:i w:val="0"/>
                <w:color w:val="1F2930"/>
                <w:sz w:val="17"/>
              </w:rPr>
              <w:t>Clinical Ops</w:t>
            </w:r>
          </w:p>
        </w:tc>
        <w:tc>
          <w:tcPr>
            <w:tcW w:type="dxa" w:w="1260"/>
            <w:tcMar>
              <w:top w:w="100" w:type="dxa"/>
              <w:start w:w="130" w:type="dxa"/>
              <w:bottom w:w="100" w:type="dxa"/>
              <w:end w:w="130" w:type="dxa"/>
            </w:tcMar>
            <w:vAlign w:val="center"/>
          </w:tcPr>
          <w:p>
            <w:pPr>
              <w:spacing w:after="0" w:line="264" w:lineRule="auto"/>
            </w:pPr>
            <w:r>
              <w:rPr>
                <w:rFonts w:ascii="Calibri" w:hAnsi="Calibri"/>
                <w:b w:val="0"/>
                <w:i w:val="0"/>
                <w:color w:val="1F2930"/>
                <w:sz w:val="17"/>
              </w:rPr>
              <w:t>Weekly</w:t>
            </w:r>
          </w:p>
        </w:tc>
      </w:tr>
      <w:tr>
        <w:tc>
          <w:tcPr>
            <w:tcW w:type="dxa" w:w="23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PSF quantity</w:t>
            </w:r>
          </w:p>
        </w:tc>
        <w:tc>
          <w:tcPr>
            <w:tcW w:type="dxa" w:w="40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Confirmed preventable failures</w:t>
            </w:r>
          </w:p>
        </w:tc>
        <w:tc>
          <w:tcPr>
            <w:tcW w:type="dxa" w:w="18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DON</w:t>
            </w:r>
          </w:p>
        </w:tc>
        <w:tc>
          <w:tcPr>
            <w:tcW w:type="dxa" w:w="12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Weekly / Monthly</w:t>
            </w:r>
          </w:p>
        </w:tc>
      </w:tr>
      <w:tr>
        <w:tc>
          <w:tcPr>
            <w:tcW w:type="dxa" w:w="2300"/>
            <w:tcMar>
              <w:top w:w="100" w:type="dxa"/>
              <w:start w:w="130" w:type="dxa"/>
              <w:bottom w:w="100" w:type="dxa"/>
              <w:end w:w="130" w:type="dxa"/>
            </w:tcMar>
            <w:vAlign w:val="center"/>
          </w:tcPr>
          <w:p>
            <w:pPr>
              <w:spacing w:after="0" w:line="264" w:lineRule="auto"/>
            </w:pPr>
            <w:r>
              <w:rPr>
                <w:rFonts w:ascii="Calibri" w:hAnsi="Calibri"/>
                <w:b/>
                <w:i w:val="0"/>
                <w:color w:val="1F2930"/>
                <w:sz w:val="17"/>
              </w:rPr>
              <w:t>PSF recovery quantity</w:t>
            </w:r>
          </w:p>
        </w:tc>
        <w:tc>
          <w:tcPr>
            <w:tcW w:type="dxa" w:w="4000"/>
            <w:tcMar>
              <w:top w:w="100" w:type="dxa"/>
              <w:start w:w="130" w:type="dxa"/>
              <w:bottom w:w="100" w:type="dxa"/>
              <w:end w:w="130" w:type="dxa"/>
            </w:tcMar>
            <w:vAlign w:val="center"/>
          </w:tcPr>
          <w:p>
            <w:pPr>
              <w:spacing w:after="0" w:line="264" w:lineRule="auto"/>
            </w:pPr>
            <w:r>
              <w:rPr>
                <w:rFonts w:ascii="Calibri" w:hAnsi="Calibri"/>
                <w:b w:val="0"/>
                <w:i w:val="0"/>
                <w:color w:val="1F2930"/>
                <w:sz w:val="17"/>
              </w:rPr>
              <w:t>Recovered PSFs</w:t>
            </w:r>
          </w:p>
        </w:tc>
        <w:tc>
          <w:tcPr>
            <w:tcW w:type="dxa" w:w="1800"/>
            <w:tcMar>
              <w:top w:w="100" w:type="dxa"/>
              <w:start w:w="130" w:type="dxa"/>
              <w:bottom w:w="100" w:type="dxa"/>
              <w:end w:w="130" w:type="dxa"/>
            </w:tcMar>
            <w:vAlign w:val="center"/>
          </w:tcPr>
          <w:p>
            <w:pPr>
              <w:spacing w:after="0" w:line="264" w:lineRule="auto"/>
            </w:pPr>
            <w:r>
              <w:rPr>
                <w:rFonts w:ascii="Calibri" w:hAnsi="Calibri"/>
                <w:b w:val="0"/>
                <w:i w:val="0"/>
                <w:color w:val="1F2930"/>
                <w:sz w:val="17"/>
              </w:rPr>
              <w:t>DON / Finance</w:t>
            </w:r>
          </w:p>
        </w:tc>
        <w:tc>
          <w:tcPr>
            <w:tcW w:type="dxa" w:w="1260"/>
            <w:tcMar>
              <w:top w:w="100" w:type="dxa"/>
              <w:start w:w="130" w:type="dxa"/>
              <w:bottom w:w="100" w:type="dxa"/>
              <w:end w:w="130" w:type="dxa"/>
            </w:tcMar>
            <w:vAlign w:val="center"/>
          </w:tcPr>
          <w:p>
            <w:pPr>
              <w:spacing w:after="0" w:line="264" w:lineRule="auto"/>
            </w:pPr>
            <w:r>
              <w:rPr>
                <w:rFonts w:ascii="Calibri" w:hAnsi="Calibri"/>
                <w:b w:val="0"/>
                <w:i w:val="0"/>
                <w:color w:val="1F2930"/>
                <w:sz w:val="17"/>
              </w:rPr>
              <w:t>Monthly</w:t>
            </w:r>
          </w:p>
        </w:tc>
      </w:tr>
      <w:tr>
        <w:tc>
          <w:tcPr>
            <w:tcW w:type="dxa" w:w="23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Revenue recovered</w:t>
            </w:r>
          </w:p>
        </w:tc>
        <w:tc>
          <w:tcPr>
            <w:tcW w:type="dxa" w:w="40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Verified recovery amount</w:t>
            </w:r>
          </w:p>
        </w:tc>
        <w:tc>
          <w:tcPr>
            <w:tcW w:type="dxa" w:w="18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Finance</w:t>
            </w:r>
          </w:p>
        </w:tc>
        <w:tc>
          <w:tcPr>
            <w:tcW w:type="dxa" w:w="12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Monthly</w:t>
            </w:r>
          </w:p>
        </w:tc>
      </w:tr>
      <w:tr>
        <w:tc>
          <w:tcPr>
            <w:tcW w:type="dxa" w:w="2300"/>
            <w:tcMar>
              <w:top w:w="100" w:type="dxa"/>
              <w:start w:w="130" w:type="dxa"/>
              <w:bottom w:w="100" w:type="dxa"/>
              <w:end w:w="130" w:type="dxa"/>
            </w:tcMar>
            <w:vAlign w:val="center"/>
          </w:tcPr>
          <w:p>
            <w:pPr>
              <w:spacing w:after="0" w:line="264" w:lineRule="auto"/>
            </w:pPr>
            <w:r>
              <w:rPr>
                <w:rFonts w:ascii="Calibri" w:hAnsi="Calibri"/>
                <w:b/>
                <w:i w:val="0"/>
                <w:color w:val="1F2930"/>
                <w:sz w:val="17"/>
              </w:rPr>
              <w:t>Benchmark variance</w:t>
            </w:r>
          </w:p>
        </w:tc>
        <w:tc>
          <w:tcPr>
            <w:tcW w:type="dxa" w:w="4000"/>
            <w:tcMar>
              <w:top w:w="100" w:type="dxa"/>
              <w:start w:w="130" w:type="dxa"/>
              <w:bottom w:w="100" w:type="dxa"/>
              <w:end w:w="130" w:type="dxa"/>
            </w:tcMar>
            <w:vAlign w:val="center"/>
          </w:tcPr>
          <w:p>
            <w:pPr>
              <w:spacing w:after="0" w:line="264" w:lineRule="auto"/>
            </w:pPr>
            <w:r>
              <w:rPr>
                <w:rFonts w:ascii="Calibri" w:hAnsi="Calibri"/>
                <w:b w:val="0"/>
                <w:i w:val="0"/>
                <w:color w:val="1F2930"/>
                <w:sz w:val="17"/>
              </w:rPr>
              <w:t>Actual direct DME cost - benchmark</w:t>
            </w:r>
          </w:p>
        </w:tc>
        <w:tc>
          <w:tcPr>
            <w:tcW w:type="dxa" w:w="1800"/>
            <w:tcMar>
              <w:top w:w="100" w:type="dxa"/>
              <w:start w:w="130" w:type="dxa"/>
              <w:bottom w:w="100" w:type="dxa"/>
              <w:end w:w="130" w:type="dxa"/>
            </w:tcMar>
            <w:vAlign w:val="center"/>
          </w:tcPr>
          <w:p>
            <w:pPr>
              <w:spacing w:after="0" w:line="264" w:lineRule="auto"/>
            </w:pPr>
            <w:r>
              <w:rPr>
                <w:rFonts w:ascii="Calibri" w:hAnsi="Calibri"/>
                <w:b w:val="0"/>
                <w:i w:val="0"/>
                <w:color w:val="1F2930"/>
                <w:sz w:val="17"/>
              </w:rPr>
              <w:t>Finance / Network</w:t>
            </w:r>
          </w:p>
        </w:tc>
        <w:tc>
          <w:tcPr>
            <w:tcW w:type="dxa" w:w="1260"/>
            <w:tcMar>
              <w:top w:w="100" w:type="dxa"/>
              <w:start w:w="130" w:type="dxa"/>
              <w:bottom w:w="100" w:type="dxa"/>
              <w:end w:w="130" w:type="dxa"/>
            </w:tcMar>
            <w:vAlign w:val="center"/>
          </w:tcPr>
          <w:p>
            <w:pPr>
              <w:spacing w:after="0" w:line="264" w:lineRule="auto"/>
            </w:pPr>
            <w:r>
              <w:rPr>
                <w:rFonts w:ascii="Calibri" w:hAnsi="Calibri"/>
                <w:b w:val="0"/>
                <w:i w:val="0"/>
                <w:color w:val="1F2930"/>
                <w:sz w:val="17"/>
              </w:rPr>
              <w:t>Monthly</w:t>
            </w:r>
          </w:p>
        </w:tc>
      </w:tr>
      <w:tr>
        <w:tc>
          <w:tcPr>
            <w:tcW w:type="dxa" w:w="23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Contribution margin</w:t>
            </w:r>
          </w:p>
        </w:tc>
        <w:tc>
          <w:tcPr>
            <w:tcW w:type="dxa" w:w="40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Revenue - direct DME cost</w:t>
            </w:r>
          </w:p>
        </w:tc>
        <w:tc>
          <w:tcPr>
            <w:tcW w:type="dxa" w:w="18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Finance</w:t>
            </w:r>
          </w:p>
        </w:tc>
        <w:tc>
          <w:tcPr>
            <w:tcW w:type="dxa" w:w="12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W / M / Q / A</w:t>
            </w:r>
          </w:p>
        </w:tc>
      </w:tr>
    </w:tbl>
    <w:p>
      <w:pPr>
        <w:spacing w:after="40"/>
      </w:pPr>
    </w:p>
    <w:p>
      <w:pPr>
        <w:pStyle w:val="Heading2"/>
        <w:keepNext/>
      </w:pPr>
      <w:r>
        <w:t>Minimum data-quality tests</w:t>
      </w:r>
    </w:p>
    <w:p>
      <w:pPr>
        <w:pStyle w:val="ListBullet"/>
        <w:spacing w:after="80" w:line="290" w:lineRule="auto"/>
        <w:ind w:left="540" w:hanging="279"/>
      </w:pPr>
      <w:r>
        <w:rPr>
          <w:rFonts w:ascii="Calibri" w:hAnsi="Calibri"/>
          <w:b w:val="0"/>
          <w:i w:val="0"/>
          <w:color w:val="1F2930"/>
          <w:sz w:val="22"/>
        </w:rPr>
        <w:t>Every dispatched order item has a visible delivery ETA; every open pickup has a visible pickup ETA or pending-confirmation state.</w:t>
      </w:r>
    </w:p>
    <w:p>
      <w:pPr>
        <w:pStyle w:val="ListBullet"/>
        <w:spacing w:after="80" w:line="290" w:lineRule="auto"/>
        <w:ind w:left="540" w:hanging="279"/>
      </w:pPr>
      <w:r>
        <w:rPr>
          <w:rFonts w:ascii="Calibri" w:hAnsi="Calibri"/>
          <w:b w:val="0"/>
          <w:i w:val="0"/>
          <w:color w:val="1F2930"/>
          <w:sz w:val="22"/>
        </w:rPr>
        <w:t>Every financial record links to a unique order, vendor, period and source transaction.</w:t>
      </w:r>
    </w:p>
    <w:p>
      <w:pPr>
        <w:pStyle w:val="ListBullet"/>
        <w:spacing w:after="80" w:line="290" w:lineRule="auto"/>
        <w:ind w:left="540" w:hanging="279"/>
      </w:pPr>
      <w:r>
        <w:rPr>
          <w:rFonts w:ascii="Calibri" w:hAnsi="Calibri"/>
          <w:b w:val="0"/>
          <w:i w:val="0"/>
          <w:color w:val="1F2930"/>
          <w:sz w:val="22"/>
        </w:rPr>
        <w:t>Every recovery has evidence, an approver, a non-zero amount and a documented no-double-counting check.</w:t>
      </w:r>
    </w:p>
    <w:p>
      <w:pPr>
        <w:pStyle w:val="ListBullet"/>
        <w:spacing w:after="80" w:line="290" w:lineRule="auto"/>
        <w:ind w:left="540" w:hanging="279"/>
      </w:pPr>
      <w:r>
        <w:rPr>
          <w:rFonts w:ascii="Calibri" w:hAnsi="Calibri"/>
          <w:b w:val="0"/>
          <w:i w:val="0"/>
          <w:color w:val="1F2930"/>
          <w:sz w:val="22"/>
        </w:rPr>
        <w:t>Every benchmark uses the applicable geography, item code, effective date and payer/contract context.</w:t>
      </w:r>
    </w:p>
    <w:p>
      <w:pPr>
        <w:pStyle w:val="ListBullet"/>
        <w:spacing w:after="80" w:line="290" w:lineRule="auto"/>
        <w:ind w:left="540" w:hanging="279"/>
      </w:pPr>
      <w:r>
        <w:rPr>
          <w:rFonts w:ascii="Calibri" w:hAnsi="Calibri"/>
          <w:b w:val="0"/>
          <w:i w:val="0"/>
          <w:color w:val="1F2930"/>
          <w:sz w:val="22"/>
        </w:rPr>
        <w:t>Every dashboard period reconciles to the underlying record count and finance source total.</w:t>
      </w:r>
    </w:p>
    <w:p>
      <w:r>
        <w:br w:type="page"/>
      </w:r>
    </w:p>
    <w:p>
      <w:pPr>
        <w:keepLines/>
        <w:spacing w:before="0" w:after="80" w:line="240" w:lineRule="auto"/>
      </w:pPr>
      <w:r>
        <w:rPr>
          <w:rFonts w:ascii="Calibri" w:hAnsi="Calibri"/>
          <w:b/>
          <w:i w:val="0"/>
          <w:caps/>
          <w:color w:val="F66F61"/>
          <w:sz w:val="18"/>
        </w:rPr>
        <w:t>SECTION 09</w:t>
      </w:r>
    </w:p>
    <w:p>
      <w:pPr>
        <w:pStyle w:val="Heading1"/>
        <w:keepNext/>
      </w:pPr>
      <w:r>
        <w:t>Pilot design and evaluation</w:t>
      </w:r>
    </w:p>
    <w:p>
      <w:pPr>
        <w:keepLines w:val="0"/>
        <w:spacing w:before="0" w:after="240" w:line="300" w:lineRule="auto"/>
      </w:pPr>
      <w:r>
        <w:rPr>
          <w:rFonts w:ascii="Calibri" w:hAnsi="Calibri"/>
          <w:b w:val="0"/>
          <w:i w:val="0"/>
          <w:color w:val="68757D"/>
          <w:sz w:val="23"/>
        </w:rPr>
        <w:t>The pilot should test operational adoption and economic validity at the same time, with a pre-registered baseline and explicit decision thresholds.</w:t>
      </w:r>
    </w:p>
    <w:p>
      <w:pPr>
        <w:pStyle w:val="Heading2"/>
        <w:keepNext/>
      </w:pPr>
      <w:r>
        <w:t>Recommended pilot</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Dimension</w:t>
            </w:r>
          </w:p>
        </w:tc>
        <w:tc>
          <w:tcPr>
            <w:tcW w:type="dxa" w:w="726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Recommended design</w:t>
            </w:r>
          </w:p>
        </w:tc>
      </w:tr>
      <w:tr>
        <w:tc>
          <w:tcPr>
            <w:tcW w:type="dxa" w:w="2100"/>
            <w:tcMar>
              <w:top w:w="100" w:type="dxa"/>
              <w:start w:w="130" w:type="dxa"/>
              <w:bottom w:w="100" w:type="dxa"/>
              <w:end w:w="130" w:type="dxa"/>
            </w:tcMar>
            <w:vAlign w:val="center"/>
          </w:tcPr>
          <w:p>
            <w:pPr>
              <w:spacing w:after="0" w:line="264" w:lineRule="auto"/>
            </w:pPr>
            <w:r>
              <w:rPr>
                <w:rFonts w:ascii="Calibri" w:hAnsi="Calibri"/>
                <w:b/>
                <w:i w:val="0"/>
                <w:color w:val="1F2930"/>
                <w:sz w:val="18"/>
              </w:rPr>
              <w:t>Duration</w:t>
            </w:r>
          </w:p>
        </w:tc>
        <w:tc>
          <w:tcPr>
            <w:tcW w:type="dxa" w:w="7260"/>
            <w:tcMar>
              <w:top w:w="100" w:type="dxa"/>
              <w:start w:w="130" w:type="dxa"/>
              <w:bottom w:w="100" w:type="dxa"/>
              <w:end w:w="130" w:type="dxa"/>
            </w:tcMar>
            <w:vAlign w:val="center"/>
          </w:tcPr>
          <w:p>
            <w:pPr>
              <w:spacing w:after="0" w:line="264" w:lineRule="auto"/>
            </w:pPr>
            <w:r>
              <w:rPr>
                <w:rFonts w:ascii="Calibri" w:hAnsi="Calibri"/>
                <w:b w:val="0"/>
                <w:i w:val="0"/>
                <w:color w:val="1F2930"/>
                <w:sz w:val="18"/>
              </w:rPr>
              <w:t>8-12 weeks, long enough to observe admission, delivery, acknowledgment and pickup cycles</w:t>
            </w:r>
          </w:p>
        </w:tc>
      </w:tr>
      <w:tr>
        <w:tc>
          <w:tcPr>
            <w:tcW w:type="dxa" w:w="21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Scope</w:t>
            </w:r>
          </w:p>
        </w:tc>
        <w:tc>
          <w:tcPr>
            <w:tcW w:type="dxa" w:w="72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One or two provider regions, 2-4 vendors, selected high-volume DME categories</w:t>
            </w:r>
          </w:p>
        </w:tc>
      </w:tr>
      <w:tr>
        <w:tc>
          <w:tcPr>
            <w:tcW w:type="dxa" w:w="2100"/>
            <w:tcMar>
              <w:top w:w="100" w:type="dxa"/>
              <w:start w:w="130" w:type="dxa"/>
              <w:bottom w:w="100" w:type="dxa"/>
              <w:end w:w="130" w:type="dxa"/>
            </w:tcMar>
            <w:vAlign w:val="center"/>
          </w:tcPr>
          <w:p>
            <w:pPr>
              <w:spacing w:after="0" w:line="264" w:lineRule="auto"/>
            </w:pPr>
            <w:r>
              <w:rPr>
                <w:rFonts w:ascii="Calibri" w:hAnsi="Calibri"/>
                <w:b/>
                <w:i w:val="0"/>
                <w:color w:val="1F2930"/>
                <w:sz w:val="18"/>
              </w:rPr>
              <w:t>Baseline</w:t>
            </w:r>
          </w:p>
        </w:tc>
        <w:tc>
          <w:tcPr>
            <w:tcW w:type="dxa" w:w="7260"/>
            <w:tcMar>
              <w:top w:w="100" w:type="dxa"/>
              <w:start w:w="130" w:type="dxa"/>
              <w:bottom w:w="100" w:type="dxa"/>
              <w:end w:w="130" w:type="dxa"/>
            </w:tcMar>
            <w:vAlign w:val="center"/>
          </w:tcPr>
          <w:p>
            <w:pPr>
              <w:spacing w:after="0" w:line="264" w:lineRule="auto"/>
            </w:pPr>
            <w:r>
              <w:rPr>
                <w:rFonts w:ascii="Calibri" w:hAnsi="Calibri"/>
                <w:b w:val="0"/>
                <w:i w:val="0"/>
                <w:color w:val="1F2930"/>
                <w:sz w:val="18"/>
              </w:rPr>
              <w:t>Prior 8-12 weeks using the same definitions and eligible case rules</w:t>
            </w:r>
          </w:p>
        </w:tc>
      </w:tr>
      <w:tr>
        <w:tc>
          <w:tcPr>
            <w:tcW w:type="dxa" w:w="21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Users</w:t>
            </w:r>
          </w:p>
        </w:tc>
        <w:tc>
          <w:tcPr>
            <w:tcW w:type="dxa" w:w="72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Admission Nurses, Charge Nurses, DON leaders, Executive sponsor and vendor dispatch contacts</w:t>
            </w:r>
          </w:p>
        </w:tc>
      </w:tr>
      <w:tr>
        <w:tc>
          <w:tcPr>
            <w:tcW w:type="dxa" w:w="2100"/>
            <w:tcMar>
              <w:top w:w="100" w:type="dxa"/>
              <w:start w:w="130" w:type="dxa"/>
              <w:bottom w:w="100" w:type="dxa"/>
              <w:end w:w="130" w:type="dxa"/>
            </w:tcMar>
            <w:vAlign w:val="center"/>
          </w:tcPr>
          <w:p>
            <w:pPr>
              <w:spacing w:after="0" w:line="264" w:lineRule="auto"/>
            </w:pPr>
            <w:r>
              <w:rPr>
                <w:rFonts w:ascii="Calibri" w:hAnsi="Calibri"/>
                <w:b/>
                <w:i w:val="0"/>
                <w:color w:val="1F2930"/>
                <w:sz w:val="18"/>
              </w:rPr>
              <w:t>Measurement</w:t>
            </w:r>
          </w:p>
        </w:tc>
        <w:tc>
          <w:tcPr>
            <w:tcW w:type="dxa" w:w="7260"/>
            <w:tcMar>
              <w:top w:w="100" w:type="dxa"/>
              <w:start w:w="130" w:type="dxa"/>
              <w:bottom w:w="100" w:type="dxa"/>
              <w:end w:w="130" w:type="dxa"/>
            </w:tcMar>
            <w:vAlign w:val="center"/>
          </w:tcPr>
          <w:p>
            <w:pPr>
              <w:spacing w:after="0" w:line="264" w:lineRule="auto"/>
            </w:pPr>
            <w:r>
              <w:rPr>
                <w:rFonts w:ascii="Calibri" w:hAnsi="Calibri"/>
                <w:b w:val="0"/>
                <w:i w:val="0"/>
                <w:color w:val="1F2930"/>
                <w:sz w:val="18"/>
              </w:rPr>
              <w:t>Workflow adoption, ETA completeness, on-time fulfillment, PSFs, recoveries, benchmark variance and contribution impact</w:t>
            </w:r>
          </w:p>
        </w:tc>
      </w:tr>
      <w:tr>
        <w:tc>
          <w:tcPr>
            <w:tcW w:type="dxa" w:w="21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Review</w:t>
            </w:r>
          </w:p>
        </w:tc>
        <w:tc>
          <w:tcPr>
            <w:tcW w:type="dxa" w:w="72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Weekly operating review; monthly finance reconciliation; end-of-pilot founder decision</w:t>
            </w:r>
          </w:p>
        </w:tc>
      </w:tr>
    </w:tbl>
    <w:p>
      <w:pPr>
        <w:spacing w:after="40"/>
      </w:pPr>
    </w:p>
    <w:p>
      <w:pPr>
        <w:pStyle w:val="Heading2"/>
        <w:keepNext/>
      </w:pPr>
      <w:r>
        <w:t>Decision thresholds</w:t>
      </w:r>
    </w:p>
    <w:tbl>
      <w:tblPr>
        <w:tblStyle w:val="TableGrid"/>
        <w:tblW w:type="dxa" w:w="9360"/>
        <w:tblLayout w:type="fixed"/>
        <w:tblLook w:firstColumn="1" w:firstRow="1" w:lastColumn="0" w:lastRow="0" w:noHBand="0" w:noVBand="1" w:val="04A0"/>
        <w:jc w:val="left"/>
        <w:tblInd w:w="120" w:type="dxa"/>
      </w:tblPr>
      <w:tblGrid>
        <w:gridCol w:w="1900"/>
        <w:gridCol w:w="3700"/>
        <w:gridCol w:w="3760"/>
      </w:tblGrid>
      <w:tr>
        <w:trPr>
          <w:tblHeader w:val="true"/>
        </w:trPr>
        <w:tc>
          <w:tcPr>
            <w:tcW w:type="dxa" w:w="190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Area</w:t>
            </w:r>
          </w:p>
        </w:tc>
        <w:tc>
          <w:tcPr>
            <w:tcW w:type="dxa" w:w="370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Scale signal</w:t>
            </w:r>
          </w:p>
        </w:tc>
        <w:tc>
          <w:tcPr>
            <w:tcW w:type="dxa" w:w="376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Stop / redesign signal</w:t>
            </w:r>
          </w:p>
        </w:tc>
      </w:tr>
      <w:tr>
        <w:tc>
          <w:tcPr>
            <w:tcW w:type="dxa" w:w="1900"/>
            <w:tcMar>
              <w:top w:w="100" w:type="dxa"/>
              <w:start w:w="130" w:type="dxa"/>
              <w:bottom w:w="100" w:type="dxa"/>
              <w:end w:w="130" w:type="dxa"/>
            </w:tcMar>
            <w:vAlign w:val="center"/>
          </w:tcPr>
          <w:p>
            <w:pPr>
              <w:spacing w:after="0" w:line="264" w:lineRule="auto"/>
            </w:pPr>
            <w:r>
              <w:rPr>
                <w:rFonts w:ascii="Calibri" w:hAnsi="Calibri"/>
                <w:b/>
                <w:i w:val="0"/>
                <w:color w:val="1F2930"/>
                <w:sz w:val="17"/>
              </w:rPr>
              <w:t>Adoption</w:t>
            </w:r>
          </w:p>
        </w:tc>
        <w:tc>
          <w:tcPr>
            <w:tcW w:type="dxa" w:w="3700"/>
            <w:tcMar>
              <w:top w:w="100" w:type="dxa"/>
              <w:start w:w="130" w:type="dxa"/>
              <w:bottom w:w="100" w:type="dxa"/>
              <w:end w:w="130" w:type="dxa"/>
            </w:tcMar>
            <w:vAlign w:val="center"/>
          </w:tcPr>
          <w:p>
            <w:pPr>
              <w:spacing w:after="0" w:line="264" w:lineRule="auto"/>
            </w:pPr>
            <w:r>
              <w:rPr>
                <w:rFonts w:ascii="Calibri" w:hAnsi="Calibri"/>
                <w:b w:val="0"/>
                <w:i w:val="0"/>
                <w:color w:val="1F2930"/>
                <w:sz w:val="17"/>
              </w:rPr>
              <w:t>&gt;=85% of eligible orders use the workflow</w:t>
            </w:r>
          </w:p>
        </w:tc>
        <w:tc>
          <w:tcPr>
            <w:tcW w:type="dxa" w:w="3760"/>
            <w:tcMar>
              <w:top w:w="100" w:type="dxa"/>
              <w:start w:w="130" w:type="dxa"/>
              <w:bottom w:w="100" w:type="dxa"/>
              <w:end w:w="130" w:type="dxa"/>
            </w:tcMar>
            <w:vAlign w:val="center"/>
          </w:tcPr>
          <w:p>
            <w:pPr>
              <w:spacing w:after="0" w:line="264" w:lineRule="auto"/>
            </w:pPr>
            <w:r>
              <w:rPr>
                <w:rFonts w:ascii="Calibri" w:hAnsi="Calibri"/>
                <w:b w:val="0"/>
                <w:i w:val="0"/>
                <w:color w:val="1F2930"/>
                <w:sz w:val="17"/>
              </w:rPr>
              <w:t>Workarounds remain dominant after remediation</w:t>
            </w:r>
          </w:p>
        </w:tc>
      </w:tr>
      <w:tr>
        <w:tc>
          <w:tcPr>
            <w:tcW w:type="dxa" w:w="19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Visibility</w:t>
            </w:r>
          </w:p>
        </w:tc>
        <w:tc>
          <w:tcPr>
            <w:tcW w:type="dxa" w:w="37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&gt;=95% delivery and pickup ETA completeness</w:t>
            </w:r>
          </w:p>
        </w:tc>
        <w:tc>
          <w:tcPr>
            <w:tcW w:type="dxa" w:w="37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ETA data is routinely stale or unavailable</w:t>
            </w:r>
          </w:p>
        </w:tc>
      </w:tr>
      <w:tr>
        <w:tc>
          <w:tcPr>
            <w:tcW w:type="dxa" w:w="1900"/>
            <w:tcMar>
              <w:top w:w="100" w:type="dxa"/>
              <w:start w:w="130" w:type="dxa"/>
              <w:bottom w:w="100" w:type="dxa"/>
              <w:end w:w="130" w:type="dxa"/>
            </w:tcMar>
            <w:vAlign w:val="center"/>
          </w:tcPr>
          <w:p>
            <w:pPr>
              <w:spacing w:after="0" w:line="264" w:lineRule="auto"/>
            </w:pPr>
            <w:r>
              <w:rPr>
                <w:rFonts w:ascii="Calibri" w:hAnsi="Calibri"/>
                <w:b/>
                <w:i w:val="0"/>
                <w:color w:val="1F2930"/>
                <w:sz w:val="17"/>
              </w:rPr>
              <w:t>Service</w:t>
            </w:r>
          </w:p>
        </w:tc>
        <w:tc>
          <w:tcPr>
            <w:tcW w:type="dxa" w:w="3700"/>
            <w:tcMar>
              <w:top w:w="100" w:type="dxa"/>
              <w:start w:w="130" w:type="dxa"/>
              <w:bottom w:w="100" w:type="dxa"/>
              <w:end w:w="130" w:type="dxa"/>
            </w:tcMar>
            <w:vAlign w:val="center"/>
          </w:tcPr>
          <w:p>
            <w:pPr>
              <w:spacing w:after="0" w:line="264" w:lineRule="auto"/>
            </w:pPr>
            <w:r>
              <w:rPr>
                <w:rFonts w:ascii="Calibri" w:hAnsi="Calibri"/>
                <w:b w:val="0"/>
                <w:i w:val="0"/>
                <w:color w:val="1F2930"/>
                <w:sz w:val="17"/>
              </w:rPr>
              <w:t>Meaningful reduction in preventable failures or time to recovery</w:t>
            </w:r>
          </w:p>
        </w:tc>
        <w:tc>
          <w:tcPr>
            <w:tcW w:type="dxa" w:w="3760"/>
            <w:tcMar>
              <w:top w:w="100" w:type="dxa"/>
              <w:start w:w="130" w:type="dxa"/>
              <w:bottom w:w="100" w:type="dxa"/>
              <w:end w:w="130" w:type="dxa"/>
            </w:tcMar>
            <w:vAlign w:val="center"/>
          </w:tcPr>
          <w:p>
            <w:pPr>
              <w:spacing w:after="0" w:line="264" w:lineRule="auto"/>
            </w:pPr>
            <w:r>
              <w:rPr>
                <w:rFonts w:ascii="Calibri" w:hAnsi="Calibri"/>
                <w:b w:val="0"/>
                <w:i w:val="0"/>
                <w:color w:val="1F2930"/>
                <w:sz w:val="17"/>
              </w:rPr>
              <w:t>No improvement after case-mix adjustment</w:t>
            </w:r>
          </w:p>
        </w:tc>
      </w:tr>
      <w:tr>
        <w:tc>
          <w:tcPr>
            <w:tcW w:type="dxa" w:w="19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Economics</w:t>
            </w:r>
          </w:p>
        </w:tc>
        <w:tc>
          <w:tcPr>
            <w:tcW w:type="dxa" w:w="37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Positive net contribution impact after program cost</w:t>
            </w:r>
          </w:p>
        </w:tc>
        <w:tc>
          <w:tcPr>
            <w:tcW w:type="dxa" w:w="37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Savings or recovery cannot be reconciled</w:t>
            </w:r>
          </w:p>
        </w:tc>
      </w:tr>
      <w:tr>
        <w:tc>
          <w:tcPr>
            <w:tcW w:type="dxa" w:w="1900"/>
            <w:tcMar>
              <w:top w:w="100" w:type="dxa"/>
              <w:start w:w="130" w:type="dxa"/>
              <w:bottom w:w="100" w:type="dxa"/>
              <w:end w:w="130" w:type="dxa"/>
            </w:tcMar>
            <w:vAlign w:val="center"/>
          </w:tcPr>
          <w:p>
            <w:pPr>
              <w:spacing w:after="0" w:line="264" w:lineRule="auto"/>
            </w:pPr>
            <w:r>
              <w:rPr>
                <w:rFonts w:ascii="Calibri" w:hAnsi="Calibri"/>
                <w:b/>
                <w:i w:val="0"/>
                <w:color w:val="1F2930"/>
                <w:sz w:val="17"/>
              </w:rPr>
              <w:t>Governance</w:t>
            </w:r>
          </w:p>
        </w:tc>
        <w:tc>
          <w:tcPr>
            <w:tcW w:type="dxa" w:w="3700"/>
            <w:tcMar>
              <w:top w:w="100" w:type="dxa"/>
              <w:start w:w="130" w:type="dxa"/>
              <w:bottom w:w="100" w:type="dxa"/>
              <w:end w:w="130" w:type="dxa"/>
            </w:tcMar>
            <w:vAlign w:val="center"/>
          </w:tcPr>
          <w:p>
            <w:pPr>
              <w:spacing w:after="0" w:line="264" w:lineRule="auto"/>
            </w:pPr>
            <w:r>
              <w:rPr>
                <w:rFonts w:ascii="Calibri" w:hAnsi="Calibri"/>
                <w:b w:val="0"/>
                <w:i w:val="0"/>
                <w:color w:val="1F2930"/>
                <w:sz w:val="17"/>
              </w:rPr>
              <w:t>Ranking and approvals reconstruct cleanly from the audit trail</w:t>
            </w:r>
          </w:p>
        </w:tc>
        <w:tc>
          <w:tcPr>
            <w:tcW w:type="dxa" w:w="3760"/>
            <w:tcMar>
              <w:top w:w="100" w:type="dxa"/>
              <w:start w:w="130" w:type="dxa"/>
              <w:bottom w:w="100" w:type="dxa"/>
              <w:end w:w="130" w:type="dxa"/>
            </w:tcMar>
            <w:vAlign w:val="center"/>
          </w:tcPr>
          <w:p>
            <w:pPr>
              <w:spacing w:after="0" w:line="264" w:lineRule="auto"/>
            </w:pPr>
            <w:r>
              <w:rPr>
                <w:rFonts w:ascii="Calibri" w:hAnsi="Calibri"/>
                <w:b w:val="0"/>
                <w:i w:val="0"/>
                <w:color w:val="1F2930"/>
                <w:sz w:val="17"/>
              </w:rPr>
              <w:t>Rules cannot be explained or produce unsafe bias</w:t>
            </w:r>
          </w:p>
        </w:tc>
      </w:tr>
    </w:tbl>
    <w:p>
      <w:pPr>
        <w:spacing w:after="40"/>
      </w:pPr>
    </w:p>
    <w:p>
      <w:pPr>
        <w:pStyle w:val="Heading2"/>
        <w:keepNext/>
      </w:pPr>
      <w:r>
        <w:t>Evaluation approach</w:t>
      </w:r>
    </w:p>
    <w:p>
      <w:pPr>
        <w:pStyle w:val="ListNumber"/>
        <w:spacing w:after="80" w:line="290" w:lineRule="auto"/>
        <w:ind w:left="540" w:hanging="279"/>
      </w:pPr>
      <w:r>
        <w:rPr>
          <w:rFonts w:ascii="Calibri" w:hAnsi="Calibri"/>
          <w:b w:val="0"/>
          <w:i w:val="0"/>
          <w:color w:val="1F2930"/>
          <w:sz w:val="22"/>
        </w:rPr>
        <w:t>Freeze metric definitions, benchmark sources and period rules before launch.</w:t>
      </w:r>
    </w:p>
    <w:p>
      <w:pPr>
        <w:pStyle w:val="ListNumber"/>
        <w:spacing w:after="80" w:line="290" w:lineRule="auto"/>
        <w:ind w:left="540" w:hanging="279"/>
      </w:pPr>
      <w:r>
        <w:rPr>
          <w:rFonts w:ascii="Calibri" w:hAnsi="Calibri"/>
          <w:b w:val="0"/>
          <w:i w:val="0"/>
          <w:color w:val="1F2930"/>
          <w:sz w:val="22"/>
        </w:rPr>
        <w:t>Capture baseline volume, case mix, vendor mix and service conditions.</w:t>
      </w:r>
    </w:p>
    <w:p>
      <w:pPr>
        <w:pStyle w:val="ListNumber"/>
        <w:spacing w:after="80" w:line="290" w:lineRule="auto"/>
        <w:ind w:left="540" w:hanging="279"/>
      </w:pPr>
      <w:r>
        <w:rPr>
          <w:rFonts w:ascii="Calibri" w:hAnsi="Calibri"/>
          <w:b w:val="0"/>
          <w:i w:val="0"/>
          <w:color w:val="1F2930"/>
          <w:sz w:val="22"/>
        </w:rPr>
        <w:t>Run weekly data-quality and exception reviews before interpreting performance.</w:t>
      </w:r>
    </w:p>
    <w:p>
      <w:pPr>
        <w:pStyle w:val="ListNumber"/>
        <w:spacing w:after="80" w:line="290" w:lineRule="auto"/>
        <w:ind w:left="540" w:hanging="279"/>
      </w:pPr>
      <w:r>
        <w:rPr>
          <w:rFonts w:ascii="Calibri" w:hAnsi="Calibri"/>
          <w:b w:val="0"/>
          <w:i w:val="0"/>
          <w:color w:val="1F2930"/>
          <w:sz w:val="22"/>
        </w:rPr>
        <w:t>Reconcile PSF recoveries and direct DME costs with finance monthly.</w:t>
      </w:r>
    </w:p>
    <w:p>
      <w:pPr>
        <w:pStyle w:val="ListNumber"/>
        <w:spacing w:after="80" w:line="290" w:lineRule="auto"/>
        <w:ind w:left="540" w:hanging="279"/>
      </w:pPr>
      <w:r>
        <w:rPr>
          <w:rFonts w:ascii="Calibri" w:hAnsi="Calibri"/>
          <w:b w:val="0"/>
          <w:i w:val="0"/>
          <w:color w:val="1F2930"/>
          <w:sz w:val="22"/>
        </w:rPr>
        <w:t>Compare baseline and pilot with volume-normalized rates and documented context.</w:t>
      </w:r>
    </w:p>
    <w:p>
      <w:pPr>
        <w:pStyle w:val="ListNumber"/>
        <w:spacing w:after="80" w:line="290" w:lineRule="auto"/>
        <w:ind w:left="540" w:hanging="279"/>
      </w:pPr>
      <w:r>
        <w:rPr>
          <w:rFonts w:ascii="Calibri" w:hAnsi="Calibri"/>
          <w:b w:val="0"/>
          <w:i w:val="0"/>
          <w:color w:val="1F2930"/>
          <w:sz w:val="22"/>
        </w:rPr>
        <w:t>Present scale, revise or stop recommendation with evidence and unresolved risks.</w:t>
      </w:r>
    </w:p>
    <w:p>
      <w:r>
        <w:br w:type="page"/>
      </w:r>
    </w:p>
    <w:p>
      <w:pPr>
        <w:keepLines/>
        <w:spacing w:before="0" w:after="80" w:line="240" w:lineRule="auto"/>
      </w:pPr>
      <w:r>
        <w:rPr>
          <w:rFonts w:ascii="Calibri" w:hAnsi="Calibri"/>
          <w:b/>
          <w:i w:val="0"/>
          <w:caps/>
          <w:color w:val="F66F61"/>
          <w:sz w:val="18"/>
        </w:rPr>
        <w:t>SECTION 10</w:t>
      </w:r>
    </w:p>
    <w:p>
      <w:pPr>
        <w:pStyle w:val="Heading1"/>
        <w:keepNext/>
      </w:pPr>
      <w:r>
        <w:t>Governance, security and operating controls</w:t>
      </w:r>
    </w:p>
    <w:p>
      <w:pPr>
        <w:keepLines w:val="0"/>
        <w:spacing w:before="0" w:after="240" w:line="300" w:lineRule="auto"/>
      </w:pPr>
      <w:r>
        <w:rPr>
          <w:rFonts w:ascii="Calibri" w:hAnsi="Calibri"/>
          <w:b w:val="0"/>
          <w:i w:val="0"/>
          <w:color w:val="68757D"/>
          <w:sz w:val="23"/>
        </w:rPr>
        <w:t>The product earns trust by making authority, evidence and sensitive access explicit.</w:t>
      </w:r>
    </w:p>
    <w:tbl>
      <w:tblPr>
        <w:tblStyle w:val="TableGrid"/>
        <w:tblW w:type="dxa" w:w="9360"/>
        <w:tblLayout w:type="fixed"/>
        <w:tblLook w:firstColumn="1" w:firstRow="1" w:lastColumn="0" w:lastRow="0" w:noHBand="0" w:noVBand="1" w:val="04A0"/>
        <w:jc w:val="left"/>
        <w:tblInd w:w="120" w:type="dxa"/>
      </w:tblPr>
      <w:tblGrid>
        <w:gridCol w:w="2100"/>
        <w:gridCol w:w="3400"/>
        <w:gridCol w:w="3860"/>
      </w:tblGrid>
      <w:tr>
        <w:trPr>
          <w:tblHeader w:val="true"/>
        </w:trPr>
        <w:tc>
          <w:tcPr>
            <w:tcW w:type="dxa" w:w="21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Control domain</w:t>
            </w:r>
          </w:p>
        </w:tc>
        <w:tc>
          <w:tcPr>
            <w:tcW w:type="dxa" w:w="34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Prototype control</w:t>
            </w:r>
          </w:p>
        </w:tc>
        <w:tc>
          <w:tcPr>
            <w:tcW w:type="dxa" w:w="386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Production requirement</w:t>
            </w:r>
          </w:p>
        </w:tc>
      </w:tr>
      <w:tr>
        <w:tc>
          <w:tcPr>
            <w:tcW w:type="dxa" w:w="2100"/>
            <w:tcMar>
              <w:top w:w="100" w:type="dxa"/>
              <w:start w:w="130" w:type="dxa"/>
              <w:bottom w:w="100" w:type="dxa"/>
              <w:end w:w="130" w:type="dxa"/>
            </w:tcMar>
            <w:vAlign w:val="center"/>
          </w:tcPr>
          <w:p>
            <w:pPr>
              <w:spacing w:after="0" w:line="264" w:lineRule="auto"/>
            </w:pPr>
            <w:r>
              <w:rPr>
                <w:rFonts w:ascii="Calibri" w:hAnsi="Calibri"/>
                <w:b/>
                <w:i w:val="0"/>
                <w:color w:val="1F2930"/>
                <w:sz w:val="17"/>
              </w:rPr>
              <w:t>Role authority</w:t>
            </w:r>
          </w:p>
        </w:tc>
        <w:tc>
          <w:tcPr>
            <w:tcW w:type="dxa" w:w="3400"/>
            <w:tcMar>
              <w:top w:w="100" w:type="dxa"/>
              <w:start w:w="130" w:type="dxa"/>
              <w:bottom w:w="100" w:type="dxa"/>
              <w:end w:w="130" w:type="dxa"/>
            </w:tcMar>
            <w:vAlign w:val="center"/>
          </w:tcPr>
          <w:p>
            <w:pPr>
              <w:spacing w:after="0" w:line="264" w:lineRule="auto"/>
            </w:pPr>
            <w:r>
              <w:rPr>
                <w:rFonts w:ascii="Calibri" w:hAnsi="Calibri"/>
                <w:b w:val="0"/>
                <w:i w:val="0"/>
                <w:color w:val="1F2930"/>
                <w:sz w:val="17"/>
              </w:rPr>
              <w:t>Admission, Charge, DON and Executive behaviors differ</w:t>
            </w:r>
          </w:p>
        </w:tc>
        <w:tc>
          <w:tcPr>
            <w:tcW w:type="dxa" w:w="3860"/>
            <w:tcMar>
              <w:top w:w="100" w:type="dxa"/>
              <w:start w:w="130" w:type="dxa"/>
              <w:bottom w:w="100" w:type="dxa"/>
              <w:end w:w="130" w:type="dxa"/>
            </w:tcMar>
            <w:vAlign w:val="center"/>
          </w:tcPr>
          <w:p>
            <w:pPr>
              <w:spacing w:after="0" w:line="264" w:lineRule="auto"/>
            </w:pPr>
            <w:r>
              <w:rPr>
                <w:rFonts w:ascii="Calibri" w:hAnsi="Calibri"/>
                <w:b w:val="0"/>
                <w:i w:val="0"/>
                <w:color w:val="1F2930"/>
                <w:sz w:val="17"/>
              </w:rPr>
              <w:t>Identity provider, least privilege and periodic access review</w:t>
            </w:r>
          </w:p>
        </w:tc>
      </w:tr>
      <w:tr>
        <w:tc>
          <w:tcPr>
            <w:tcW w:type="dxa" w:w="21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Patient data</w:t>
            </w:r>
          </w:p>
        </w:tc>
        <w:tc>
          <w:tcPr>
            <w:tcW w:type="dxa" w:w="34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Synthetic demo data; scoped vendor view</w:t>
            </w:r>
          </w:p>
        </w:tc>
        <w:tc>
          <w:tcPr>
            <w:tcW w:type="dxa" w:w="38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HIPAA-aligned architecture, BAAs, encryption and minimum necessary disclosure</w:t>
            </w:r>
          </w:p>
        </w:tc>
      </w:tr>
      <w:tr>
        <w:tc>
          <w:tcPr>
            <w:tcW w:type="dxa" w:w="2100"/>
            <w:tcMar>
              <w:top w:w="100" w:type="dxa"/>
              <w:start w:w="130" w:type="dxa"/>
              <w:bottom w:w="100" w:type="dxa"/>
              <w:end w:w="130" w:type="dxa"/>
            </w:tcMar>
            <w:vAlign w:val="center"/>
          </w:tcPr>
          <w:p>
            <w:pPr>
              <w:spacing w:after="0" w:line="264" w:lineRule="auto"/>
            </w:pPr>
            <w:r>
              <w:rPr>
                <w:rFonts w:ascii="Calibri" w:hAnsi="Calibri"/>
                <w:b/>
                <w:i w:val="0"/>
                <w:color w:val="1F2930"/>
                <w:sz w:val="17"/>
              </w:rPr>
              <w:t>Approvals</w:t>
            </w:r>
          </w:p>
        </w:tc>
        <w:tc>
          <w:tcPr>
            <w:tcW w:type="dxa" w:w="3400"/>
            <w:tcMar>
              <w:top w:w="100" w:type="dxa"/>
              <w:start w:w="130" w:type="dxa"/>
              <w:bottom w:w="100" w:type="dxa"/>
              <w:end w:w="130" w:type="dxa"/>
            </w:tcMar>
            <w:vAlign w:val="center"/>
          </w:tcPr>
          <w:p>
            <w:pPr>
              <w:spacing w:after="0" w:line="264" w:lineRule="auto"/>
            </w:pPr>
            <w:r>
              <w:rPr>
                <w:rFonts w:ascii="Calibri" w:hAnsi="Calibri"/>
                <w:b w:val="0"/>
                <w:i w:val="0"/>
                <w:color w:val="1F2930"/>
                <w:sz w:val="17"/>
              </w:rPr>
              <w:t>Amount and exception-based escalation</w:t>
            </w:r>
          </w:p>
        </w:tc>
        <w:tc>
          <w:tcPr>
            <w:tcW w:type="dxa" w:w="3860"/>
            <w:tcMar>
              <w:top w:w="100" w:type="dxa"/>
              <w:start w:w="130" w:type="dxa"/>
              <w:bottom w:w="100" w:type="dxa"/>
              <w:end w:w="130" w:type="dxa"/>
            </w:tcMar>
            <w:vAlign w:val="center"/>
          </w:tcPr>
          <w:p>
            <w:pPr>
              <w:spacing w:after="0" w:line="264" w:lineRule="auto"/>
            </w:pPr>
            <w:r>
              <w:rPr>
                <w:rFonts w:ascii="Calibri" w:hAnsi="Calibri"/>
                <w:b w:val="0"/>
                <w:i w:val="0"/>
                <w:color w:val="1F2930"/>
                <w:sz w:val="17"/>
              </w:rPr>
              <w:t>Policy-owned thresholds, expiration and audit export</w:t>
            </w:r>
          </w:p>
        </w:tc>
      </w:tr>
      <w:tr>
        <w:tc>
          <w:tcPr>
            <w:tcW w:type="dxa" w:w="21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Vendor access</w:t>
            </w:r>
          </w:p>
        </w:tc>
        <w:tc>
          <w:tcPr>
            <w:tcW w:type="dxa" w:w="34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Tokenized enrollment and scoped sign-in</w:t>
            </w:r>
          </w:p>
        </w:tc>
        <w:tc>
          <w:tcPr>
            <w:tcW w:type="dxa" w:w="38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Credential lifecycle, vendor admin, invitation expiry and monitoring</w:t>
            </w:r>
          </w:p>
        </w:tc>
      </w:tr>
      <w:tr>
        <w:tc>
          <w:tcPr>
            <w:tcW w:type="dxa" w:w="2100"/>
            <w:tcMar>
              <w:top w:w="100" w:type="dxa"/>
              <w:start w:w="130" w:type="dxa"/>
              <w:bottom w:w="100" w:type="dxa"/>
              <w:end w:w="130" w:type="dxa"/>
            </w:tcMar>
            <w:vAlign w:val="center"/>
          </w:tcPr>
          <w:p>
            <w:pPr>
              <w:spacing w:after="0" w:line="264" w:lineRule="auto"/>
            </w:pPr>
            <w:r>
              <w:rPr>
                <w:rFonts w:ascii="Calibri" w:hAnsi="Calibri"/>
                <w:b/>
                <w:i w:val="0"/>
                <w:color w:val="1F2930"/>
                <w:sz w:val="17"/>
              </w:rPr>
              <w:t>Offline drafts</w:t>
            </w:r>
          </w:p>
        </w:tc>
        <w:tc>
          <w:tcPr>
            <w:tcW w:type="dxa" w:w="3400"/>
            <w:tcMar>
              <w:top w:w="100" w:type="dxa"/>
              <w:start w:w="130" w:type="dxa"/>
              <w:bottom w:w="100" w:type="dxa"/>
              <w:end w:w="130" w:type="dxa"/>
            </w:tcMar>
            <w:vAlign w:val="center"/>
          </w:tcPr>
          <w:p>
            <w:pPr>
              <w:spacing w:after="0" w:line="264" w:lineRule="auto"/>
            </w:pPr>
            <w:r>
              <w:rPr>
                <w:rFonts w:ascii="Calibri" w:hAnsi="Calibri"/>
                <w:b w:val="0"/>
                <w:i w:val="0"/>
                <w:color w:val="1F2930"/>
                <w:sz w:val="17"/>
              </w:rPr>
              <w:t>Local secure-draft cue</w:t>
            </w:r>
          </w:p>
        </w:tc>
        <w:tc>
          <w:tcPr>
            <w:tcW w:type="dxa" w:w="3860"/>
            <w:tcMar>
              <w:top w:w="100" w:type="dxa"/>
              <w:start w:w="130" w:type="dxa"/>
              <w:bottom w:w="100" w:type="dxa"/>
              <w:end w:w="130" w:type="dxa"/>
            </w:tcMar>
            <w:vAlign w:val="center"/>
          </w:tcPr>
          <w:p>
            <w:pPr>
              <w:spacing w:after="0" w:line="264" w:lineRule="auto"/>
            </w:pPr>
            <w:r>
              <w:rPr>
                <w:rFonts w:ascii="Calibri" w:hAnsi="Calibri"/>
                <w:b w:val="0"/>
                <w:i w:val="0"/>
                <w:color w:val="1F2930"/>
                <w:sz w:val="17"/>
              </w:rPr>
              <w:t>Encrypted storage, timeout, remote revocation and sync conflict handling</w:t>
            </w:r>
          </w:p>
        </w:tc>
      </w:tr>
      <w:tr>
        <w:tc>
          <w:tcPr>
            <w:tcW w:type="dxa" w:w="21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Ranking</w:t>
            </w:r>
          </w:p>
        </w:tc>
        <w:tc>
          <w:tcPr>
            <w:tcW w:type="dxa" w:w="34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Hidden deterministic rules with governance visibility</w:t>
            </w:r>
          </w:p>
        </w:tc>
        <w:tc>
          <w:tcPr>
            <w:tcW w:type="dxa" w:w="38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Versioning, validation, bias review and override audit</w:t>
            </w:r>
          </w:p>
        </w:tc>
      </w:tr>
      <w:tr>
        <w:tc>
          <w:tcPr>
            <w:tcW w:type="dxa" w:w="2100"/>
            <w:tcMar>
              <w:top w:w="100" w:type="dxa"/>
              <w:start w:w="130" w:type="dxa"/>
              <w:bottom w:w="100" w:type="dxa"/>
              <w:end w:w="130" w:type="dxa"/>
            </w:tcMar>
            <w:vAlign w:val="center"/>
          </w:tcPr>
          <w:p>
            <w:pPr>
              <w:spacing w:after="0" w:line="264" w:lineRule="auto"/>
            </w:pPr>
            <w:r>
              <w:rPr>
                <w:rFonts w:ascii="Calibri" w:hAnsi="Calibri"/>
                <w:b/>
                <w:i w:val="0"/>
                <w:color w:val="1F2930"/>
                <w:sz w:val="17"/>
              </w:rPr>
              <w:t>Financial reporting</w:t>
            </w:r>
          </w:p>
        </w:tc>
        <w:tc>
          <w:tcPr>
            <w:tcW w:type="dxa" w:w="3400"/>
            <w:tcMar>
              <w:top w:w="100" w:type="dxa"/>
              <w:start w:w="130" w:type="dxa"/>
              <w:bottom w:w="100" w:type="dxa"/>
              <w:end w:w="130" w:type="dxa"/>
            </w:tcMar>
            <w:vAlign w:val="center"/>
          </w:tcPr>
          <w:p>
            <w:pPr>
              <w:spacing w:after="0" w:line="264" w:lineRule="auto"/>
            </w:pPr>
            <w:r>
              <w:rPr>
                <w:rFonts w:ascii="Calibri" w:hAnsi="Calibri"/>
                <w:b w:val="0"/>
                <w:i w:val="0"/>
                <w:color w:val="1F2930"/>
                <w:sz w:val="17"/>
              </w:rPr>
              <w:t>Illustrative dashboard and formulas</w:t>
            </w:r>
          </w:p>
        </w:tc>
        <w:tc>
          <w:tcPr>
            <w:tcW w:type="dxa" w:w="3860"/>
            <w:tcMar>
              <w:top w:w="100" w:type="dxa"/>
              <w:start w:w="130" w:type="dxa"/>
              <w:bottom w:w="100" w:type="dxa"/>
              <w:end w:w="130" w:type="dxa"/>
            </w:tcMar>
            <w:vAlign w:val="center"/>
          </w:tcPr>
          <w:p>
            <w:pPr>
              <w:spacing w:after="0" w:line="264" w:lineRule="auto"/>
            </w:pPr>
            <w:r>
              <w:rPr>
                <w:rFonts w:ascii="Calibri" w:hAnsi="Calibri"/>
                <w:b w:val="0"/>
                <w:i w:val="0"/>
                <w:color w:val="1F2930"/>
                <w:sz w:val="17"/>
              </w:rPr>
              <w:t>Finance reconciliation and controlled source systems</w:t>
            </w:r>
          </w:p>
        </w:tc>
      </w:tr>
    </w:tbl>
    <w:p>
      <w:pPr>
        <w:spacing w:after="40"/>
      </w:pPr>
    </w:p>
    <w:p>
      <w:pPr>
        <w:pStyle w:val="Heading2"/>
        <w:keepNext/>
      </w:pPr>
      <w:r>
        <w:t>Primary risks and mitigations</w:t>
      </w:r>
    </w:p>
    <w:p>
      <w:pPr>
        <w:pStyle w:val="ListBullet"/>
        <w:spacing w:after="80" w:line="290" w:lineRule="auto"/>
        <w:ind w:left="540" w:hanging="279"/>
      </w:pPr>
      <w:r>
        <w:rPr>
          <w:rFonts w:ascii="Calibri" w:hAnsi="Calibri"/>
          <w:b/>
          <w:i w:val="0"/>
          <w:color w:val="1F2930"/>
          <w:sz w:val="22"/>
        </w:rPr>
        <w:t>False precision.</w:t>
      </w:r>
      <w:r>
        <w:rPr>
          <w:rFonts w:ascii="Calibri" w:hAnsi="Calibri"/>
          <w:b w:val="0"/>
          <w:i w:val="0"/>
          <w:color w:val="1F2930"/>
          <w:sz w:val="22"/>
        </w:rPr>
        <w:t xml:space="preserve"> Label demo outputs illustrative; require pilot reconciliation before claims.</w:t>
      </w:r>
    </w:p>
    <w:p>
      <w:pPr>
        <w:pStyle w:val="ListBullet"/>
        <w:spacing w:after="80" w:line="290" w:lineRule="auto"/>
        <w:ind w:left="540" w:hanging="279"/>
      </w:pPr>
      <w:r>
        <w:rPr>
          <w:rFonts w:ascii="Calibri" w:hAnsi="Calibri"/>
          <w:b/>
          <w:i w:val="0"/>
          <w:color w:val="1F2930"/>
          <w:sz w:val="22"/>
        </w:rPr>
        <w:t>Score gaming.</w:t>
      </w:r>
      <w:r>
        <w:rPr>
          <w:rFonts w:ascii="Calibri" w:hAnsi="Calibri"/>
          <w:b w:val="0"/>
          <w:i w:val="0"/>
          <w:color w:val="1F2930"/>
          <w:sz w:val="22"/>
        </w:rPr>
        <w:t xml:space="preserve"> Keep provider-facing rank rationale concise; retain full governance logic and anomaly monitoring.</w:t>
      </w:r>
    </w:p>
    <w:p>
      <w:pPr>
        <w:pStyle w:val="ListBullet"/>
        <w:spacing w:after="80" w:line="290" w:lineRule="auto"/>
        <w:ind w:left="540" w:hanging="279"/>
      </w:pPr>
      <w:r>
        <w:rPr>
          <w:rFonts w:ascii="Calibri" w:hAnsi="Calibri"/>
          <w:b/>
          <w:i w:val="0"/>
          <w:color w:val="1F2930"/>
          <w:sz w:val="22"/>
        </w:rPr>
        <w:t>Unsafe automation.</w:t>
      </w:r>
      <w:r>
        <w:rPr>
          <w:rFonts w:ascii="Calibri" w:hAnsi="Calibri"/>
          <w:b w:val="0"/>
          <w:i w:val="0"/>
          <w:color w:val="1F2930"/>
          <w:sz w:val="22"/>
        </w:rPr>
        <w:t xml:space="preserve"> Preserve human confirmation for severe events and material exceptions.</w:t>
      </w:r>
    </w:p>
    <w:p>
      <w:pPr>
        <w:pStyle w:val="ListBullet"/>
        <w:spacing w:after="80" w:line="290" w:lineRule="auto"/>
        <w:ind w:left="540" w:hanging="279"/>
      </w:pPr>
      <w:r>
        <w:rPr>
          <w:rFonts w:ascii="Calibri" w:hAnsi="Calibri"/>
          <w:b/>
          <w:i w:val="0"/>
          <w:color w:val="1F2930"/>
          <w:sz w:val="22"/>
        </w:rPr>
        <w:t>Workflow burden.</w:t>
      </w:r>
      <w:r>
        <w:rPr>
          <w:rFonts w:ascii="Calibri" w:hAnsi="Calibri"/>
          <w:b w:val="0"/>
          <w:i w:val="0"/>
          <w:color w:val="1F2930"/>
          <w:sz w:val="22"/>
        </w:rPr>
        <w:t xml:space="preserve"> Measure time-to-order and abandonment; remove fields not linked to a decision or control.</w:t>
      </w:r>
    </w:p>
    <w:p>
      <w:pPr>
        <w:pStyle w:val="ListBullet"/>
        <w:spacing w:after="80" w:line="290" w:lineRule="auto"/>
        <w:ind w:left="540" w:hanging="279"/>
      </w:pPr>
      <w:r>
        <w:rPr>
          <w:rFonts w:ascii="Calibri" w:hAnsi="Calibri"/>
          <w:b/>
          <w:i w:val="0"/>
          <w:color w:val="1F2930"/>
          <w:sz w:val="22"/>
        </w:rPr>
        <w:t>Vendor exclusion.</w:t>
      </w:r>
      <w:r>
        <w:rPr>
          <w:rFonts w:ascii="Calibri" w:hAnsi="Calibri"/>
          <w:b w:val="0"/>
          <w:i w:val="0"/>
          <w:color w:val="1F2930"/>
          <w:sz w:val="22"/>
        </w:rPr>
        <w:t xml:space="preserve"> Use minimum volume, recency and case-mix normalization before trend action.</w:t>
      </w:r>
    </w:p>
    <w:p>
      <w:r>
        <w:br w:type="page"/>
      </w:r>
    </w:p>
    <w:p>
      <w:pPr>
        <w:keepLines/>
        <w:spacing w:before="0" w:after="80" w:line="240" w:lineRule="auto"/>
      </w:pPr>
      <w:r>
        <w:rPr>
          <w:rFonts w:ascii="Calibri" w:hAnsi="Calibri"/>
          <w:b/>
          <w:i w:val="0"/>
          <w:caps/>
          <w:color w:val="F66F61"/>
          <w:sz w:val="18"/>
        </w:rPr>
        <w:t>SECTION 11</w:t>
      </w:r>
    </w:p>
    <w:p>
      <w:pPr>
        <w:pStyle w:val="Heading1"/>
        <w:keepNext/>
      </w:pPr>
      <w:r>
        <w:t>Founder demo and judging narrative</w:t>
      </w:r>
    </w:p>
    <w:p>
      <w:pPr>
        <w:keepLines w:val="0"/>
        <w:spacing w:before="0" w:after="240" w:line="300" w:lineRule="auto"/>
      </w:pPr>
      <w:r>
        <w:rPr>
          <w:rFonts w:ascii="Calibri" w:hAnsi="Calibri"/>
          <w:b w:val="0"/>
          <w:i w:val="0"/>
          <w:color w:val="68757D"/>
          <w:sz w:val="23"/>
        </w:rPr>
        <w:t>A disciplined demonstration should show the control loop, not every screen.</w:t>
      </w:r>
    </w:p>
    <w:p>
      <w:pPr>
        <w:pStyle w:val="Heading2"/>
        <w:keepNext/>
      </w:pPr>
      <w:r>
        <w:t>Recommended 8-minute story</w:t>
      </w:r>
    </w:p>
    <w:tbl>
      <w:tblPr>
        <w:tblStyle w:val="TableGrid"/>
        <w:tblW w:type="dxa" w:w="9360"/>
        <w:tblLayout w:type="fixed"/>
        <w:tblLook w:firstColumn="1" w:firstRow="1" w:lastColumn="0" w:lastRow="0" w:noHBand="0" w:noVBand="1" w:val="04A0"/>
        <w:jc w:val="left"/>
        <w:tblInd w:w="120" w:type="dxa"/>
      </w:tblPr>
      <w:tblGrid>
        <w:gridCol w:w="900"/>
        <w:gridCol w:w="1500"/>
        <w:gridCol w:w="4200"/>
        <w:gridCol w:w="2760"/>
      </w:tblGrid>
      <w:tr>
        <w:trPr>
          <w:tblHeader w:val="true"/>
        </w:trPr>
        <w:tc>
          <w:tcPr>
            <w:tcW w:type="dxa" w:w="90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Time</w:t>
            </w:r>
          </w:p>
        </w:tc>
        <w:tc>
          <w:tcPr>
            <w:tcW w:type="dxa" w:w="150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Moment</w:t>
            </w:r>
          </w:p>
        </w:tc>
        <w:tc>
          <w:tcPr>
            <w:tcW w:type="dxa" w:w="420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What to demonstrate</w:t>
            </w:r>
          </w:p>
        </w:tc>
        <w:tc>
          <w:tcPr>
            <w:tcW w:type="dxa" w:w="2760"/>
            <w:tcMar>
              <w:top w:w="100" w:type="dxa"/>
              <w:start w:w="130" w:type="dxa"/>
              <w:bottom w:w="100" w:type="dxa"/>
              <w:end w:w="130" w:type="dxa"/>
            </w:tcMar>
            <w:vAlign w:val="center"/>
            <w:shd w:fill="F66F61"/>
          </w:tcPr>
          <w:p>
            <w:pPr>
              <w:spacing w:after="0" w:line="240" w:lineRule="auto"/>
            </w:pPr>
            <w:r>
              <w:rPr>
                <w:rFonts w:ascii="Calibri" w:hAnsi="Calibri"/>
                <w:b/>
                <w:i w:val="0"/>
                <w:color w:val="FFFFFF"/>
                <w:sz w:val="17"/>
              </w:rPr>
              <w:t>Judging message</w:t>
            </w:r>
          </w:p>
        </w:tc>
      </w:tr>
      <w:tr>
        <w:tc>
          <w:tcPr>
            <w:tcW w:type="dxa" w:w="900"/>
            <w:tcMar>
              <w:top w:w="100" w:type="dxa"/>
              <w:start w:w="130" w:type="dxa"/>
              <w:bottom w:w="100" w:type="dxa"/>
              <w:end w:w="130" w:type="dxa"/>
            </w:tcMar>
            <w:vAlign w:val="center"/>
          </w:tcPr>
          <w:p>
            <w:pPr>
              <w:spacing w:after="0" w:line="264" w:lineRule="auto"/>
            </w:pPr>
            <w:r>
              <w:rPr>
                <w:rFonts w:ascii="Calibri" w:hAnsi="Calibri"/>
                <w:b w:val="0"/>
                <w:i w:val="0"/>
                <w:color w:val="1F2930"/>
                <w:sz w:val="17"/>
              </w:rPr>
              <w:t>0:00-0:45</w:t>
            </w:r>
          </w:p>
        </w:tc>
        <w:tc>
          <w:tcPr>
            <w:tcW w:type="dxa" w:w="1500"/>
            <w:tcMar>
              <w:top w:w="100" w:type="dxa"/>
              <w:start w:w="130" w:type="dxa"/>
              <w:bottom w:w="100" w:type="dxa"/>
              <w:end w:w="130" w:type="dxa"/>
            </w:tcMar>
            <w:vAlign w:val="center"/>
          </w:tcPr>
          <w:p>
            <w:pPr>
              <w:spacing w:after="0" w:line="264" w:lineRule="auto"/>
            </w:pPr>
            <w:r>
              <w:rPr>
                <w:rFonts w:ascii="Calibri" w:hAnsi="Calibri"/>
                <w:b w:val="0"/>
                <w:i w:val="0"/>
                <w:color w:val="1F2930"/>
                <w:sz w:val="17"/>
              </w:rPr>
              <w:t>Problem</w:t>
            </w:r>
          </w:p>
        </w:tc>
        <w:tc>
          <w:tcPr>
            <w:tcW w:type="dxa" w:w="4200"/>
            <w:tcMar>
              <w:top w:w="100" w:type="dxa"/>
              <w:start w:w="130" w:type="dxa"/>
              <w:bottom w:w="100" w:type="dxa"/>
              <w:end w:w="130" w:type="dxa"/>
            </w:tcMar>
            <w:vAlign w:val="center"/>
          </w:tcPr>
          <w:p>
            <w:pPr>
              <w:spacing w:after="0" w:line="264" w:lineRule="auto"/>
            </w:pPr>
            <w:r>
              <w:rPr>
                <w:rFonts w:ascii="Calibri" w:hAnsi="Calibri"/>
                <w:b w:val="0"/>
                <w:i w:val="0"/>
                <w:color w:val="1F2930"/>
                <w:sz w:val="17"/>
              </w:rPr>
              <w:t>Fragmented ordering, status and financial recovery</w:t>
            </w:r>
          </w:p>
        </w:tc>
        <w:tc>
          <w:tcPr>
            <w:tcW w:type="dxa" w:w="2760"/>
            <w:tcMar>
              <w:top w:w="100" w:type="dxa"/>
              <w:start w:w="130" w:type="dxa"/>
              <w:bottom w:w="100" w:type="dxa"/>
              <w:end w:w="130" w:type="dxa"/>
            </w:tcMar>
            <w:vAlign w:val="center"/>
          </w:tcPr>
          <w:p>
            <w:pPr>
              <w:spacing w:after="0" w:line="264" w:lineRule="auto"/>
            </w:pPr>
            <w:r>
              <w:rPr>
                <w:rFonts w:ascii="Calibri" w:hAnsi="Calibri"/>
                <w:b w:val="0"/>
                <w:i w:val="0"/>
                <w:color w:val="1F2930"/>
                <w:sz w:val="17"/>
              </w:rPr>
              <w:t>The issue is visibility plus accountability</w:t>
            </w:r>
          </w:p>
        </w:tc>
      </w:tr>
      <w:tr>
        <w:tc>
          <w:tcPr>
            <w:tcW w:type="dxa" w:w="9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0:45-2:30</w:t>
            </w:r>
          </w:p>
        </w:tc>
        <w:tc>
          <w:tcPr>
            <w:tcW w:type="dxa" w:w="15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Provider order</w:t>
            </w:r>
          </w:p>
        </w:tc>
        <w:tc>
          <w:tcPr>
            <w:tcW w:type="dxa" w:w="42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EHR pull, standing order, duplicate disposition and cost authority</w:t>
            </w:r>
          </w:p>
        </w:tc>
        <w:tc>
          <w:tcPr>
            <w:tcW w:type="dxa" w:w="27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Clinical workflow and control coexist</w:t>
            </w:r>
          </w:p>
        </w:tc>
      </w:tr>
      <w:tr>
        <w:tc>
          <w:tcPr>
            <w:tcW w:type="dxa" w:w="900"/>
            <w:tcMar>
              <w:top w:w="100" w:type="dxa"/>
              <w:start w:w="130" w:type="dxa"/>
              <w:bottom w:w="100" w:type="dxa"/>
              <w:end w:w="130" w:type="dxa"/>
            </w:tcMar>
            <w:vAlign w:val="center"/>
          </w:tcPr>
          <w:p>
            <w:pPr>
              <w:spacing w:after="0" w:line="264" w:lineRule="auto"/>
            </w:pPr>
            <w:r>
              <w:rPr>
                <w:rFonts w:ascii="Calibri" w:hAnsi="Calibri"/>
                <w:b w:val="0"/>
                <w:i w:val="0"/>
                <w:color w:val="1F2930"/>
                <w:sz w:val="17"/>
              </w:rPr>
              <w:t>2:30-3:45</w:t>
            </w:r>
          </w:p>
        </w:tc>
        <w:tc>
          <w:tcPr>
            <w:tcW w:type="dxa" w:w="1500"/>
            <w:tcMar>
              <w:top w:w="100" w:type="dxa"/>
              <w:start w:w="130" w:type="dxa"/>
              <w:bottom w:w="100" w:type="dxa"/>
              <w:end w:w="130" w:type="dxa"/>
            </w:tcMar>
            <w:vAlign w:val="center"/>
          </w:tcPr>
          <w:p>
            <w:pPr>
              <w:spacing w:after="0" w:line="264" w:lineRule="auto"/>
            </w:pPr>
            <w:r>
              <w:rPr>
                <w:rFonts w:ascii="Calibri" w:hAnsi="Calibri"/>
                <w:b w:val="0"/>
                <w:i w:val="0"/>
                <w:color w:val="1F2930"/>
                <w:sz w:val="17"/>
              </w:rPr>
              <w:t>Risk &amp; vendor</w:t>
            </w:r>
          </w:p>
        </w:tc>
        <w:tc>
          <w:tcPr>
            <w:tcW w:type="dxa" w:w="4200"/>
            <w:tcMar>
              <w:top w:w="100" w:type="dxa"/>
              <w:start w:w="130" w:type="dxa"/>
              <w:bottom w:w="100" w:type="dxa"/>
              <w:end w:w="130" w:type="dxa"/>
            </w:tcMar>
            <w:vAlign w:val="center"/>
          </w:tcPr>
          <w:p>
            <w:pPr>
              <w:spacing w:after="0" w:line="264" w:lineRule="auto"/>
            </w:pPr>
            <w:r>
              <w:rPr>
                <w:rFonts w:ascii="Calibri" w:hAnsi="Calibri"/>
                <w:b w:val="0"/>
                <w:i w:val="0"/>
                <w:color w:val="1F2930"/>
                <w:sz w:val="17"/>
              </w:rPr>
              <w:t>Deterministic match, visible risk and severe-event confirmation</w:t>
            </w:r>
          </w:p>
        </w:tc>
        <w:tc>
          <w:tcPr>
            <w:tcW w:type="dxa" w:w="2760"/>
            <w:tcMar>
              <w:top w:w="100" w:type="dxa"/>
              <w:start w:w="130" w:type="dxa"/>
              <w:bottom w:w="100" w:type="dxa"/>
              <w:end w:w="130" w:type="dxa"/>
            </w:tcMar>
            <w:vAlign w:val="center"/>
          </w:tcPr>
          <w:p>
            <w:pPr>
              <w:spacing w:after="0" w:line="264" w:lineRule="auto"/>
            </w:pPr>
            <w:r>
              <w:rPr>
                <w:rFonts w:ascii="Calibri" w:hAnsi="Calibri"/>
                <w:b w:val="0"/>
                <w:i w:val="0"/>
                <w:color w:val="1F2930"/>
                <w:sz w:val="17"/>
              </w:rPr>
              <w:t>Recommendations are governed, not opaque</w:t>
            </w:r>
          </w:p>
        </w:tc>
      </w:tr>
      <w:tr>
        <w:tc>
          <w:tcPr>
            <w:tcW w:type="dxa" w:w="9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3:45-5:00</w:t>
            </w:r>
          </w:p>
        </w:tc>
        <w:tc>
          <w:tcPr>
            <w:tcW w:type="dxa" w:w="15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Fulfillment</w:t>
            </w:r>
          </w:p>
        </w:tc>
        <w:tc>
          <w:tcPr>
            <w:tcW w:type="dxa" w:w="42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Delivery ETA, proof, condition, messaging and pickup ETA</w:t>
            </w:r>
          </w:p>
        </w:tc>
        <w:tc>
          <w:tcPr>
            <w:tcW w:type="dxa" w:w="27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The lifecycle remains visible end to end</w:t>
            </w:r>
          </w:p>
        </w:tc>
      </w:tr>
      <w:tr>
        <w:tc>
          <w:tcPr>
            <w:tcW w:type="dxa" w:w="900"/>
            <w:tcMar>
              <w:top w:w="100" w:type="dxa"/>
              <w:start w:w="130" w:type="dxa"/>
              <w:bottom w:w="100" w:type="dxa"/>
              <w:end w:w="130" w:type="dxa"/>
            </w:tcMar>
            <w:vAlign w:val="center"/>
          </w:tcPr>
          <w:p>
            <w:pPr>
              <w:spacing w:after="0" w:line="264" w:lineRule="auto"/>
            </w:pPr>
            <w:r>
              <w:rPr>
                <w:rFonts w:ascii="Calibri" w:hAnsi="Calibri"/>
                <w:b w:val="0"/>
                <w:i w:val="0"/>
                <w:color w:val="1F2930"/>
                <w:sz w:val="17"/>
              </w:rPr>
              <w:t>5:00-6:30</w:t>
            </w:r>
          </w:p>
        </w:tc>
        <w:tc>
          <w:tcPr>
            <w:tcW w:type="dxa" w:w="1500"/>
            <w:tcMar>
              <w:top w:w="100" w:type="dxa"/>
              <w:start w:w="130" w:type="dxa"/>
              <w:bottom w:w="100" w:type="dxa"/>
              <w:end w:w="130" w:type="dxa"/>
            </w:tcMar>
            <w:vAlign w:val="center"/>
          </w:tcPr>
          <w:p>
            <w:pPr>
              <w:spacing w:after="0" w:line="264" w:lineRule="auto"/>
            </w:pPr>
            <w:r>
              <w:rPr>
                <w:rFonts w:ascii="Calibri" w:hAnsi="Calibri"/>
                <w:b w:val="0"/>
                <w:i w:val="0"/>
                <w:color w:val="1F2930"/>
                <w:sz w:val="17"/>
              </w:rPr>
              <w:t>Leadership</w:t>
            </w:r>
          </w:p>
        </w:tc>
        <w:tc>
          <w:tcPr>
            <w:tcW w:type="dxa" w:w="4200"/>
            <w:tcMar>
              <w:top w:w="100" w:type="dxa"/>
              <w:start w:w="130" w:type="dxa"/>
              <w:bottom w:w="100" w:type="dxa"/>
              <w:end w:w="130" w:type="dxa"/>
            </w:tcMar>
            <w:vAlign w:val="center"/>
          </w:tcPr>
          <w:p>
            <w:pPr>
              <w:spacing w:after="0" w:line="264" w:lineRule="auto"/>
            </w:pPr>
            <w:r>
              <w:rPr>
                <w:rFonts w:ascii="Calibri" w:hAnsi="Calibri"/>
                <w:b w:val="0"/>
                <w:i w:val="0"/>
                <w:color w:val="1F2930"/>
                <w:sz w:val="17"/>
              </w:rPr>
              <w:t>DON/Executive PSF recovery, benchmark trend and contribution margin</w:t>
            </w:r>
          </w:p>
        </w:tc>
        <w:tc>
          <w:tcPr>
            <w:tcW w:type="dxa" w:w="2760"/>
            <w:tcMar>
              <w:top w:w="100" w:type="dxa"/>
              <w:start w:w="130" w:type="dxa"/>
              <w:bottom w:w="100" w:type="dxa"/>
              <w:end w:w="130" w:type="dxa"/>
            </w:tcMar>
            <w:vAlign w:val="center"/>
          </w:tcPr>
          <w:p>
            <w:pPr>
              <w:spacing w:after="0" w:line="264" w:lineRule="auto"/>
            </w:pPr>
            <w:r>
              <w:rPr>
                <w:rFonts w:ascii="Calibri" w:hAnsi="Calibri"/>
                <w:b w:val="0"/>
                <w:i w:val="0"/>
                <w:color w:val="1F2930"/>
                <w:sz w:val="17"/>
              </w:rPr>
              <w:t>Operational events become economic evidence</w:t>
            </w:r>
          </w:p>
        </w:tc>
      </w:tr>
      <w:tr>
        <w:tc>
          <w:tcPr>
            <w:tcW w:type="dxa" w:w="9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6:30-7:30</w:t>
            </w:r>
          </w:p>
        </w:tc>
        <w:tc>
          <w:tcPr>
            <w:tcW w:type="dxa" w:w="15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Vendor</w:t>
            </w:r>
          </w:p>
        </w:tc>
        <w:tc>
          <w:tcPr>
            <w:tcW w:type="dxa" w:w="42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Enrollment, equipment catalog and dispatch coverage</w:t>
            </w:r>
          </w:p>
        </w:tc>
        <w:tc>
          <w:tcPr>
            <w:tcW w:type="dxa" w:w="27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The network supplies structured capacity data</w:t>
            </w:r>
          </w:p>
        </w:tc>
      </w:tr>
      <w:tr>
        <w:tc>
          <w:tcPr>
            <w:tcW w:type="dxa" w:w="900"/>
            <w:tcMar>
              <w:top w:w="100" w:type="dxa"/>
              <w:start w:w="130" w:type="dxa"/>
              <w:bottom w:w="100" w:type="dxa"/>
              <w:end w:w="130" w:type="dxa"/>
            </w:tcMar>
            <w:vAlign w:val="center"/>
          </w:tcPr>
          <w:p>
            <w:pPr>
              <w:spacing w:after="0" w:line="264" w:lineRule="auto"/>
            </w:pPr>
            <w:r>
              <w:rPr>
                <w:rFonts w:ascii="Calibri" w:hAnsi="Calibri"/>
                <w:b w:val="0"/>
                <w:i w:val="0"/>
                <w:color w:val="1F2930"/>
                <w:sz w:val="17"/>
              </w:rPr>
              <w:t>7:30-8:00</w:t>
            </w:r>
          </w:p>
        </w:tc>
        <w:tc>
          <w:tcPr>
            <w:tcW w:type="dxa" w:w="1500"/>
            <w:tcMar>
              <w:top w:w="100" w:type="dxa"/>
              <w:start w:w="130" w:type="dxa"/>
              <w:bottom w:w="100" w:type="dxa"/>
              <w:end w:w="130" w:type="dxa"/>
            </w:tcMar>
            <w:vAlign w:val="center"/>
          </w:tcPr>
          <w:p>
            <w:pPr>
              <w:spacing w:after="0" w:line="264" w:lineRule="auto"/>
            </w:pPr>
            <w:r>
              <w:rPr>
                <w:rFonts w:ascii="Calibri" w:hAnsi="Calibri"/>
                <w:b w:val="0"/>
                <w:i w:val="0"/>
                <w:color w:val="1F2930"/>
                <w:sz w:val="17"/>
              </w:rPr>
              <w:t>Ask</w:t>
            </w:r>
          </w:p>
        </w:tc>
        <w:tc>
          <w:tcPr>
            <w:tcW w:type="dxa" w:w="4200"/>
            <w:tcMar>
              <w:top w:w="100" w:type="dxa"/>
              <w:start w:w="130" w:type="dxa"/>
              <w:bottom w:w="100" w:type="dxa"/>
              <w:end w:w="130" w:type="dxa"/>
            </w:tcMar>
            <w:vAlign w:val="center"/>
          </w:tcPr>
          <w:p>
            <w:pPr>
              <w:spacing w:after="0" w:line="264" w:lineRule="auto"/>
            </w:pPr>
            <w:r>
              <w:rPr>
                <w:rFonts w:ascii="Calibri" w:hAnsi="Calibri"/>
                <w:b w:val="0"/>
                <w:i w:val="0"/>
                <w:color w:val="1F2930"/>
                <w:sz w:val="17"/>
              </w:rPr>
              <w:t>Pilot scope, decision thresholds and founder sponsorship</w:t>
            </w:r>
          </w:p>
        </w:tc>
        <w:tc>
          <w:tcPr>
            <w:tcW w:type="dxa" w:w="2760"/>
            <w:tcMar>
              <w:top w:w="100" w:type="dxa"/>
              <w:start w:w="130" w:type="dxa"/>
              <w:bottom w:w="100" w:type="dxa"/>
              <w:end w:w="130" w:type="dxa"/>
            </w:tcMar>
            <w:vAlign w:val="center"/>
          </w:tcPr>
          <w:p>
            <w:pPr>
              <w:spacing w:after="0" w:line="264" w:lineRule="auto"/>
            </w:pPr>
            <w:r>
              <w:rPr>
                <w:rFonts w:ascii="Calibri" w:hAnsi="Calibri"/>
                <w:b w:val="0"/>
                <w:i w:val="0"/>
                <w:color w:val="1F2930"/>
                <w:sz w:val="17"/>
              </w:rPr>
              <w:t>The next step is measurable and controlled</w:t>
            </w:r>
          </w:p>
        </w:tc>
      </w:tr>
    </w:tbl>
    <w:p>
      <w:pPr>
        <w:spacing w:after="40"/>
      </w:pPr>
    </w:p>
    <w:p>
      <w:pPr>
        <w:pStyle w:val="Heading2"/>
        <w:keepNext/>
      </w:pPr>
      <w:r>
        <w:t>Questions the methodology answers</w:t>
      </w:r>
    </w:p>
    <w:p>
      <w:pPr>
        <w:pStyle w:val="ListBullet"/>
        <w:spacing w:after="80" w:line="290" w:lineRule="auto"/>
        <w:ind w:left="540" w:hanging="279"/>
      </w:pPr>
      <w:r>
        <w:rPr>
          <w:rFonts w:ascii="Calibri" w:hAnsi="Calibri"/>
          <w:b w:val="0"/>
          <w:i w:val="0"/>
          <w:color w:val="1F2930"/>
          <w:sz w:val="22"/>
        </w:rPr>
        <w:t>Why was this vendor recommended for this order and this timeline?</w:t>
      </w:r>
    </w:p>
    <w:p>
      <w:pPr>
        <w:pStyle w:val="ListBullet"/>
        <w:spacing w:after="80" w:line="290" w:lineRule="auto"/>
        <w:ind w:left="540" w:hanging="279"/>
      </w:pPr>
      <w:r>
        <w:rPr>
          <w:rFonts w:ascii="Calibri" w:hAnsi="Calibri"/>
          <w:b w:val="0"/>
          <w:i w:val="0"/>
          <w:color w:val="1F2930"/>
          <w:sz w:val="22"/>
        </w:rPr>
        <w:t>What changed when weather, weekend or holiday coverage mattered?</w:t>
      </w:r>
    </w:p>
    <w:p>
      <w:pPr>
        <w:pStyle w:val="ListBullet"/>
        <w:spacing w:after="80" w:line="290" w:lineRule="auto"/>
        <w:ind w:left="540" w:hanging="279"/>
      </w:pPr>
      <w:r>
        <w:rPr>
          <w:rFonts w:ascii="Calibri" w:hAnsi="Calibri"/>
          <w:b w:val="0"/>
          <w:i w:val="0"/>
          <w:color w:val="1F2930"/>
          <w:sz w:val="22"/>
        </w:rPr>
        <w:t>Where is the proof that the equipment arrived and was acceptable?</w:t>
      </w:r>
    </w:p>
    <w:p>
      <w:pPr>
        <w:pStyle w:val="ListBullet"/>
        <w:spacing w:after="80" w:line="290" w:lineRule="auto"/>
        <w:ind w:left="540" w:hanging="279"/>
      </w:pPr>
      <w:r>
        <w:rPr>
          <w:rFonts w:ascii="Calibri" w:hAnsi="Calibri"/>
          <w:b w:val="0"/>
          <w:i w:val="0"/>
          <w:color w:val="1F2930"/>
          <w:sz w:val="22"/>
        </w:rPr>
        <w:t>Which failure was preventable, what revenue was at risk and what was actually recovered?</w:t>
      </w:r>
    </w:p>
    <w:p>
      <w:pPr>
        <w:pStyle w:val="ListBullet"/>
        <w:spacing w:after="80" w:line="290" w:lineRule="auto"/>
        <w:ind w:left="540" w:hanging="279"/>
      </w:pPr>
      <w:r>
        <w:rPr>
          <w:rFonts w:ascii="Calibri" w:hAnsi="Calibri"/>
          <w:b w:val="0"/>
          <w:i w:val="0"/>
          <w:color w:val="1F2930"/>
          <w:sz w:val="22"/>
        </w:rPr>
        <w:t>How did direct DME cost affect contribution margin over the selected period?</w:t>
      </w:r>
    </w:p>
    <w:p>
      <w:pPr>
        <w:pStyle w:val="ListBullet"/>
        <w:spacing w:after="80" w:line="290" w:lineRule="auto"/>
        <w:ind w:left="540" w:hanging="279"/>
      </w:pPr>
      <w:r>
        <w:rPr>
          <w:rFonts w:ascii="Calibri" w:hAnsi="Calibri"/>
          <w:b w:val="0"/>
          <w:i w:val="0"/>
          <w:color w:val="1F2930"/>
          <w:sz w:val="22"/>
        </w:rPr>
        <w:t>What evidence would justify scaling beyond the pilot?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0ED"/>
          </w:tcPr>
          <w:p>
            <w:pPr>
              <w:spacing w:after="40" w:line="276" w:lineRule="auto"/>
            </w:pPr>
            <w:r>
              <w:rPr>
                <w:rFonts w:ascii="Calibri" w:hAnsi="Calibri"/>
                <w:b/>
                <w:i w:val="0"/>
                <w:color w:val="F66F61"/>
                <w:sz w:val="17"/>
              </w:rPr>
              <w:t>FOUNDER ASK</w:t>
            </w:r>
          </w:p>
          <w:p>
            <w:pPr>
              <w:spacing w:after="0" w:line="288" w:lineRule="auto"/>
            </w:pPr>
            <w:r>
              <w:rPr>
                <w:rFonts w:ascii="Calibri" w:hAnsi="Calibri"/>
                <w:b/>
                <w:i w:val="0"/>
                <w:color w:val="1F2930"/>
                <w:sz w:val="22"/>
              </w:rPr>
              <w:t>Sponsor an 8-12 week pilot, assign clinical, operations, finance and vendor-network owners, and approve the measurement definitions before the first order is counted.</w:t>
            </w:r>
          </w:p>
        </w:tc>
      </w:tr>
    </w:tbl>
    <w:p>
      <w:pPr>
        <w:spacing w:after="40"/>
      </w:pPr>
    </w:p>
    <w:p>
      <w:r>
        <w:br w:type="page"/>
      </w:r>
    </w:p>
    <w:p>
      <w:pPr>
        <w:keepLines/>
        <w:spacing w:before="0" w:after="80" w:line="240" w:lineRule="auto"/>
      </w:pPr>
      <w:r>
        <w:rPr>
          <w:rFonts w:ascii="Calibri" w:hAnsi="Calibri"/>
          <w:b/>
          <w:i w:val="0"/>
          <w:caps/>
          <w:color w:val="F66F61"/>
          <w:sz w:val="18"/>
        </w:rPr>
        <w:t>SECTION 12</w:t>
      </w:r>
    </w:p>
    <w:p>
      <w:pPr>
        <w:pStyle w:val="Heading1"/>
        <w:keepNext/>
      </w:pPr>
      <w:r>
        <w:t>Roadmap and founder decisions</w:t>
      </w:r>
    </w:p>
    <w:p>
      <w:pPr>
        <w:keepLines w:val="0"/>
        <w:spacing w:before="0" w:after="240" w:line="300" w:lineRule="auto"/>
      </w:pPr>
      <w:r>
        <w:rPr>
          <w:rFonts w:ascii="Calibri" w:hAnsi="Calibri"/>
          <w:b w:val="0"/>
          <w:i w:val="0"/>
          <w:color w:val="68757D"/>
          <w:sz w:val="23"/>
        </w:rPr>
        <w:t>The fastest credible path is a narrow production pilot with strong measurement, followed by controlled expansion.</w:t>
      </w:r>
    </w:p>
    <w:tbl>
      <w:tblPr>
        <w:tblStyle w:val="TableGrid"/>
        <w:tblW w:type="dxa" w:w="9360"/>
        <w:tblLayout w:type="fixed"/>
        <w:tblLook w:firstColumn="1" w:firstRow="1" w:lastColumn="0" w:lastRow="0" w:noHBand="0" w:noVBand="1" w:val="04A0"/>
        <w:jc w:val="left"/>
        <w:tblInd w:w="120" w:type="dxa"/>
      </w:tblPr>
      <w:tblGrid>
        <w:gridCol w:w="1200"/>
        <w:gridCol w:w="2200"/>
        <w:gridCol w:w="3700"/>
        <w:gridCol w:w="2260"/>
      </w:tblGrid>
      <w:tr>
        <w:trPr>
          <w:tblHeader w:val="true"/>
        </w:trPr>
        <w:tc>
          <w:tcPr>
            <w:tcW w:type="dxa" w:w="12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Phase</w:t>
            </w:r>
          </w:p>
        </w:tc>
        <w:tc>
          <w:tcPr>
            <w:tcW w:type="dxa" w:w="22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Objective</w:t>
            </w:r>
          </w:p>
        </w:tc>
        <w:tc>
          <w:tcPr>
            <w:tcW w:type="dxa" w:w="37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Key deliverables</w:t>
            </w:r>
          </w:p>
        </w:tc>
        <w:tc>
          <w:tcPr>
            <w:tcW w:type="dxa" w:w="226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Exit criterion</w:t>
            </w:r>
          </w:p>
        </w:tc>
      </w:tr>
      <w:tr>
        <w:tc>
          <w:tcPr>
            <w:tcW w:type="dxa" w:w="1200"/>
            <w:tcMar>
              <w:top w:w="100" w:type="dxa"/>
              <w:start w:w="130" w:type="dxa"/>
              <w:bottom w:w="100" w:type="dxa"/>
              <w:end w:w="130" w:type="dxa"/>
            </w:tcMar>
            <w:vAlign w:val="center"/>
          </w:tcPr>
          <w:p>
            <w:pPr>
              <w:spacing w:after="0" w:line="264" w:lineRule="auto"/>
            </w:pPr>
            <w:r>
              <w:rPr>
                <w:rFonts w:ascii="Calibri" w:hAnsi="Calibri"/>
                <w:b/>
                <w:i w:val="0"/>
                <w:color w:val="1F2930"/>
                <w:sz w:val="17"/>
              </w:rPr>
              <w:t>0. Align</w:t>
            </w:r>
          </w:p>
        </w:tc>
        <w:tc>
          <w:tcPr>
            <w:tcW w:type="dxa" w:w="2200"/>
            <w:tcMar>
              <w:top w:w="100" w:type="dxa"/>
              <w:start w:w="130" w:type="dxa"/>
              <w:bottom w:w="100" w:type="dxa"/>
              <w:end w:w="130" w:type="dxa"/>
            </w:tcMar>
            <w:vAlign w:val="center"/>
          </w:tcPr>
          <w:p>
            <w:pPr>
              <w:spacing w:after="0" w:line="264" w:lineRule="auto"/>
            </w:pPr>
            <w:r>
              <w:rPr>
                <w:rFonts w:ascii="Calibri" w:hAnsi="Calibri"/>
                <w:b w:val="0"/>
                <w:i w:val="0"/>
                <w:color w:val="1F2930"/>
                <w:sz w:val="17"/>
              </w:rPr>
              <w:t>Freeze scope and definitions</w:t>
            </w:r>
          </w:p>
        </w:tc>
        <w:tc>
          <w:tcPr>
            <w:tcW w:type="dxa" w:w="3700"/>
            <w:tcMar>
              <w:top w:w="100" w:type="dxa"/>
              <w:start w:w="130" w:type="dxa"/>
              <w:bottom w:w="100" w:type="dxa"/>
              <w:end w:w="130" w:type="dxa"/>
            </w:tcMar>
            <w:vAlign w:val="center"/>
          </w:tcPr>
          <w:p>
            <w:pPr>
              <w:spacing w:after="0" w:line="264" w:lineRule="auto"/>
            </w:pPr>
            <w:r>
              <w:rPr>
                <w:rFonts w:ascii="Calibri" w:hAnsi="Calibri"/>
                <w:b w:val="0"/>
                <w:i w:val="0"/>
                <w:color w:val="1F2930"/>
                <w:sz w:val="17"/>
              </w:rPr>
              <w:t>Pilot charter, KPI dictionary, benchmark source, owners</w:t>
            </w:r>
          </w:p>
        </w:tc>
        <w:tc>
          <w:tcPr>
            <w:tcW w:type="dxa" w:w="2260"/>
            <w:tcMar>
              <w:top w:w="100" w:type="dxa"/>
              <w:start w:w="130" w:type="dxa"/>
              <w:bottom w:w="100" w:type="dxa"/>
              <w:end w:w="130" w:type="dxa"/>
            </w:tcMar>
            <w:vAlign w:val="center"/>
          </w:tcPr>
          <w:p>
            <w:pPr>
              <w:spacing w:after="0" w:line="264" w:lineRule="auto"/>
            </w:pPr>
            <w:r>
              <w:rPr>
                <w:rFonts w:ascii="Calibri" w:hAnsi="Calibri"/>
                <w:b w:val="0"/>
                <w:i w:val="0"/>
                <w:color w:val="1F2930"/>
                <w:sz w:val="17"/>
              </w:rPr>
              <w:t>Founder and functional signoff</w:t>
            </w:r>
          </w:p>
        </w:tc>
      </w:tr>
      <w:tr>
        <w:tc>
          <w:tcPr>
            <w:tcW w:type="dxa" w:w="12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1. Instrument</w:t>
            </w:r>
          </w:p>
        </w:tc>
        <w:tc>
          <w:tcPr>
            <w:tcW w:type="dxa" w:w="22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Connect minimum data</w:t>
            </w:r>
          </w:p>
        </w:tc>
        <w:tc>
          <w:tcPr>
            <w:tcW w:type="dxa" w:w="37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Identity, EHR/order context, vendor roster, finance extracts</w:t>
            </w:r>
          </w:p>
        </w:tc>
        <w:tc>
          <w:tcPr>
            <w:tcW w:type="dxa" w:w="22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End-to-end test order reconciles</w:t>
            </w:r>
          </w:p>
        </w:tc>
      </w:tr>
      <w:tr>
        <w:tc>
          <w:tcPr>
            <w:tcW w:type="dxa" w:w="1200"/>
            <w:tcMar>
              <w:top w:w="100" w:type="dxa"/>
              <w:start w:w="130" w:type="dxa"/>
              <w:bottom w:w="100" w:type="dxa"/>
              <w:end w:w="130" w:type="dxa"/>
            </w:tcMar>
            <w:vAlign w:val="center"/>
          </w:tcPr>
          <w:p>
            <w:pPr>
              <w:spacing w:after="0" w:line="264" w:lineRule="auto"/>
            </w:pPr>
            <w:r>
              <w:rPr>
                <w:rFonts w:ascii="Calibri" w:hAnsi="Calibri"/>
                <w:b/>
                <w:i w:val="0"/>
                <w:color w:val="1F2930"/>
                <w:sz w:val="17"/>
              </w:rPr>
              <w:t>2. Pilot</w:t>
            </w:r>
          </w:p>
        </w:tc>
        <w:tc>
          <w:tcPr>
            <w:tcW w:type="dxa" w:w="2200"/>
            <w:tcMar>
              <w:top w:w="100" w:type="dxa"/>
              <w:start w:w="130" w:type="dxa"/>
              <w:bottom w:w="100" w:type="dxa"/>
              <w:end w:w="130" w:type="dxa"/>
            </w:tcMar>
            <w:vAlign w:val="center"/>
          </w:tcPr>
          <w:p>
            <w:pPr>
              <w:spacing w:after="0" w:line="264" w:lineRule="auto"/>
            </w:pPr>
            <w:r>
              <w:rPr>
                <w:rFonts w:ascii="Calibri" w:hAnsi="Calibri"/>
                <w:b w:val="0"/>
                <w:i w:val="0"/>
                <w:color w:val="1F2930"/>
                <w:sz w:val="17"/>
              </w:rPr>
              <w:t>Run controlled operations</w:t>
            </w:r>
          </w:p>
        </w:tc>
        <w:tc>
          <w:tcPr>
            <w:tcW w:type="dxa" w:w="3700"/>
            <w:tcMar>
              <w:top w:w="100" w:type="dxa"/>
              <w:start w:w="130" w:type="dxa"/>
              <w:bottom w:w="100" w:type="dxa"/>
              <w:end w:w="130" w:type="dxa"/>
            </w:tcMar>
            <w:vAlign w:val="center"/>
          </w:tcPr>
          <w:p>
            <w:pPr>
              <w:spacing w:after="0" w:line="264" w:lineRule="auto"/>
            </w:pPr>
            <w:r>
              <w:rPr>
                <w:rFonts w:ascii="Calibri" w:hAnsi="Calibri"/>
                <w:b w:val="0"/>
                <w:i w:val="0"/>
                <w:color w:val="1F2930"/>
                <w:sz w:val="17"/>
              </w:rPr>
              <w:t>Live orders, ETA/proof, PSF and margin reporting</w:t>
            </w:r>
          </w:p>
        </w:tc>
        <w:tc>
          <w:tcPr>
            <w:tcW w:type="dxa" w:w="2260"/>
            <w:tcMar>
              <w:top w:w="100" w:type="dxa"/>
              <w:start w:w="130" w:type="dxa"/>
              <w:bottom w:w="100" w:type="dxa"/>
              <w:end w:w="130" w:type="dxa"/>
            </w:tcMar>
            <w:vAlign w:val="center"/>
          </w:tcPr>
          <w:p>
            <w:pPr>
              <w:spacing w:after="0" w:line="264" w:lineRule="auto"/>
            </w:pPr>
            <w:r>
              <w:rPr>
                <w:rFonts w:ascii="Calibri" w:hAnsi="Calibri"/>
                <w:b w:val="0"/>
                <w:i w:val="0"/>
                <w:color w:val="1F2930"/>
                <w:sz w:val="17"/>
              </w:rPr>
              <w:t>Decision thresholds evaluated</w:t>
            </w:r>
          </w:p>
        </w:tc>
      </w:tr>
      <w:tr>
        <w:tc>
          <w:tcPr>
            <w:tcW w:type="dxa" w:w="12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7"/>
              </w:rPr>
              <w:t>3. Calibrate</w:t>
            </w:r>
          </w:p>
        </w:tc>
        <w:tc>
          <w:tcPr>
            <w:tcW w:type="dxa" w:w="22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Tune rules safely</w:t>
            </w:r>
          </w:p>
        </w:tc>
        <w:tc>
          <w:tcPr>
            <w:tcW w:type="dxa" w:w="370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Weight review, case-mix normalization, false-positive analysis</w:t>
            </w:r>
          </w:p>
        </w:tc>
        <w:tc>
          <w:tcPr>
            <w:tcW w:type="dxa" w:w="22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7"/>
              </w:rPr>
              <w:t>Governance approval</w:t>
            </w:r>
          </w:p>
        </w:tc>
      </w:tr>
      <w:tr>
        <w:tc>
          <w:tcPr>
            <w:tcW w:type="dxa" w:w="1200"/>
            <w:tcMar>
              <w:top w:w="100" w:type="dxa"/>
              <w:start w:w="130" w:type="dxa"/>
              <w:bottom w:w="100" w:type="dxa"/>
              <w:end w:w="130" w:type="dxa"/>
            </w:tcMar>
            <w:vAlign w:val="center"/>
          </w:tcPr>
          <w:p>
            <w:pPr>
              <w:spacing w:after="0" w:line="264" w:lineRule="auto"/>
            </w:pPr>
            <w:r>
              <w:rPr>
                <w:rFonts w:ascii="Calibri" w:hAnsi="Calibri"/>
                <w:b/>
                <w:i w:val="0"/>
                <w:color w:val="1F2930"/>
                <w:sz w:val="17"/>
              </w:rPr>
              <w:t>4. Scale</w:t>
            </w:r>
          </w:p>
        </w:tc>
        <w:tc>
          <w:tcPr>
            <w:tcW w:type="dxa" w:w="2200"/>
            <w:tcMar>
              <w:top w:w="100" w:type="dxa"/>
              <w:start w:w="130" w:type="dxa"/>
              <w:bottom w:w="100" w:type="dxa"/>
              <w:end w:w="130" w:type="dxa"/>
            </w:tcMar>
            <w:vAlign w:val="center"/>
          </w:tcPr>
          <w:p>
            <w:pPr>
              <w:spacing w:after="0" w:line="264" w:lineRule="auto"/>
            </w:pPr>
            <w:r>
              <w:rPr>
                <w:rFonts w:ascii="Calibri" w:hAnsi="Calibri"/>
                <w:b w:val="0"/>
                <w:i w:val="0"/>
                <w:color w:val="1F2930"/>
                <w:sz w:val="17"/>
              </w:rPr>
              <w:t>Expand categories/regions</w:t>
            </w:r>
          </w:p>
        </w:tc>
        <w:tc>
          <w:tcPr>
            <w:tcW w:type="dxa" w:w="3700"/>
            <w:tcMar>
              <w:top w:w="100" w:type="dxa"/>
              <w:start w:w="130" w:type="dxa"/>
              <w:bottom w:w="100" w:type="dxa"/>
              <w:end w:w="130" w:type="dxa"/>
            </w:tcMar>
            <w:vAlign w:val="center"/>
          </w:tcPr>
          <w:p>
            <w:pPr>
              <w:spacing w:after="0" w:line="264" w:lineRule="auto"/>
            </w:pPr>
            <w:r>
              <w:rPr>
                <w:rFonts w:ascii="Calibri" w:hAnsi="Calibri"/>
                <w:b w:val="0"/>
                <w:i w:val="0"/>
                <w:color w:val="1F2930"/>
                <w:sz w:val="17"/>
              </w:rPr>
              <w:t>Vendor onboarding, training, support and monitoring</w:t>
            </w:r>
          </w:p>
        </w:tc>
        <w:tc>
          <w:tcPr>
            <w:tcW w:type="dxa" w:w="2260"/>
            <w:tcMar>
              <w:top w:w="100" w:type="dxa"/>
              <w:start w:w="130" w:type="dxa"/>
              <w:bottom w:w="100" w:type="dxa"/>
              <w:end w:w="130" w:type="dxa"/>
            </w:tcMar>
            <w:vAlign w:val="center"/>
          </w:tcPr>
          <w:p>
            <w:pPr>
              <w:spacing w:after="0" w:line="264" w:lineRule="auto"/>
            </w:pPr>
            <w:r>
              <w:rPr>
                <w:rFonts w:ascii="Calibri" w:hAnsi="Calibri"/>
                <w:b w:val="0"/>
                <w:i w:val="0"/>
                <w:color w:val="1F2930"/>
                <w:sz w:val="17"/>
              </w:rPr>
              <w:t>Sustained value and control</w:t>
            </w:r>
          </w:p>
        </w:tc>
      </w:tr>
    </w:tbl>
    <w:p>
      <w:pPr>
        <w:spacing w:after="40"/>
      </w:pPr>
    </w:p>
    <w:p>
      <w:pPr>
        <w:pStyle w:val="Heading2"/>
        <w:keepNext/>
      </w:pPr>
      <w:r>
        <w:t>Decisions requested</w:t>
      </w:r>
    </w:p>
    <w:p>
      <w:pPr>
        <w:pStyle w:val="ListNumber"/>
        <w:spacing w:after="80" w:line="290" w:lineRule="auto"/>
        <w:ind w:left="540" w:hanging="279"/>
      </w:pPr>
      <w:r>
        <w:rPr>
          <w:rFonts w:ascii="Calibri" w:hAnsi="Calibri"/>
          <w:b w:val="0"/>
          <w:i w:val="0"/>
          <w:color w:val="1F2930"/>
          <w:sz w:val="22"/>
        </w:rPr>
        <w:t>Name an executive sponsor and DON product owner.</w:t>
      </w:r>
    </w:p>
    <w:p>
      <w:pPr>
        <w:pStyle w:val="ListNumber"/>
        <w:spacing w:after="80" w:line="290" w:lineRule="auto"/>
        <w:ind w:left="540" w:hanging="279"/>
      </w:pPr>
      <w:r>
        <w:rPr>
          <w:rFonts w:ascii="Calibri" w:hAnsi="Calibri"/>
          <w:b w:val="0"/>
          <w:i w:val="0"/>
          <w:color w:val="1F2930"/>
          <w:sz w:val="22"/>
        </w:rPr>
        <w:t>Approve the pilot geography, categories, vendors and duration.</w:t>
      </w:r>
    </w:p>
    <w:p>
      <w:pPr>
        <w:pStyle w:val="ListNumber"/>
        <w:spacing w:after="80" w:line="290" w:lineRule="auto"/>
        <w:ind w:left="540" w:hanging="279"/>
      </w:pPr>
      <w:r>
        <w:rPr>
          <w:rFonts w:ascii="Calibri" w:hAnsi="Calibri"/>
          <w:b w:val="0"/>
          <w:i w:val="0"/>
          <w:color w:val="1F2930"/>
          <w:sz w:val="22"/>
        </w:rPr>
        <w:t>Approve the PSF definition and financial recovery evidence standard.</w:t>
      </w:r>
    </w:p>
    <w:p>
      <w:pPr>
        <w:pStyle w:val="ListNumber"/>
        <w:spacing w:after="80" w:line="290" w:lineRule="auto"/>
        <w:ind w:left="540" w:hanging="279"/>
      </w:pPr>
      <w:r>
        <w:rPr>
          <w:rFonts w:ascii="Calibri" w:hAnsi="Calibri"/>
          <w:b w:val="0"/>
          <w:i w:val="0"/>
          <w:color w:val="1F2930"/>
          <w:sz w:val="22"/>
        </w:rPr>
        <w:t>Assign Finance to own revenue, DME cost and contribution-margin reconciliation.</w:t>
      </w:r>
    </w:p>
    <w:p>
      <w:pPr>
        <w:pStyle w:val="ListNumber"/>
        <w:spacing w:after="80" w:line="290" w:lineRule="auto"/>
        <w:ind w:left="540" w:hanging="279"/>
      </w:pPr>
      <w:r>
        <w:rPr>
          <w:rFonts w:ascii="Calibri" w:hAnsi="Calibri"/>
          <w:b w:val="0"/>
          <w:i w:val="0"/>
          <w:color w:val="1F2930"/>
          <w:sz w:val="22"/>
        </w:rPr>
        <w:t>Approve ranking governance: versioning, guardrails, review cadence and override audit.</w:t>
      </w:r>
    </w:p>
    <w:p>
      <w:pPr>
        <w:pStyle w:val="Heading2"/>
        <w:keepNext/>
      </w:pPr>
      <w:r>
        <w:t>What success looks like</w:t>
      </w:r>
    </w:p>
    <w:p>
      <w:pPr>
        <w:keepLines w:val="0"/>
        <w:spacing w:before="0" w:after="160" w:line="320" w:lineRule="auto"/>
      </w:pPr>
      <w:r>
        <w:rPr>
          <w:rFonts w:ascii="Calibri" w:hAnsi="Calibri"/>
          <w:b w:val="0"/>
          <w:i w:val="0"/>
          <w:color w:val="1F2930"/>
          <w:sz w:val="22"/>
        </w:rPr>
        <w:t>At the end of the pilot, founders should be able to see which orders were fulfilled, which vendors performed for which conditions, which failures were preventable, how much value was recovered or protected, and whether the net contribution and care-control benefits justify scaling.</w:t>
      </w:r>
    </w:p>
    <w:p>
      <w:r>
        <w:br w:type="page"/>
      </w:r>
    </w:p>
    <w:p>
      <w:pPr>
        <w:keepLines/>
        <w:spacing w:before="0" w:after="80" w:line="240" w:lineRule="auto"/>
      </w:pPr>
      <w:r>
        <w:rPr>
          <w:rFonts w:ascii="Calibri" w:hAnsi="Calibri"/>
          <w:b/>
          <w:i w:val="0"/>
          <w:caps/>
          <w:color w:val="F66F61"/>
          <w:sz w:val="18"/>
        </w:rPr>
        <w:t>SECTION APPENDIX</w:t>
      </w:r>
    </w:p>
    <w:p>
      <w:pPr>
        <w:pStyle w:val="Heading1"/>
        <w:keepNext/>
      </w:pPr>
      <w:r>
        <w:t>Assumptions, formulas and evidence boundaries</w:t>
      </w:r>
    </w:p>
    <w:p>
      <w:pPr>
        <w:keepLines w:val="0"/>
        <w:spacing w:before="0" w:after="240" w:line="300" w:lineRule="auto"/>
      </w:pPr>
      <w:r>
        <w:rPr>
          <w:rFonts w:ascii="Calibri" w:hAnsi="Calibri"/>
          <w:b w:val="0"/>
          <w:i w:val="0"/>
          <w:color w:val="68757D"/>
          <w:sz w:val="23"/>
        </w:rPr>
        <w:t>A concise reference for judging questions and pilot setup.</w:t>
      </w:r>
    </w:p>
    <w:p>
      <w:pPr>
        <w:pStyle w:val="Heading2"/>
        <w:keepNext/>
      </w:pPr>
      <w:r>
        <w:t>Formula reference</w:t>
      </w:r>
    </w:p>
    <w:tbl>
      <w:tblPr>
        <w:tblStyle w:val="TableGrid"/>
        <w:tblW w:type="dxa" w:w="9360"/>
        <w:tblLayout w:type="fixed"/>
        <w:tblLook w:firstColumn="1" w:firstRow="1" w:lastColumn="0" w:lastRow="0" w:noHBand="0" w:noVBand="1" w:val="04A0"/>
        <w:jc w:val="left"/>
        <w:tblInd w:w="120" w:type="dxa"/>
      </w:tblPr>
      <w:tblGrid>
        <w:gridCol w:w="3200"/>
        <w:gridCol w:w="6160"/>
      </w:tblGrid>
      <w:tr>
        <w:trPr>
          <w:tblHeader w:val="true"/>
        </w:trPr>
        <w:tc>
          <w:tcPr>
            <w:tcW w:type="dxa" w:w="320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Measure</w:t>
            </w:r>
          </w:p>
        </w:tc>
        <w:tc>
          <w:tcPr>
            <w:tcW w:type="dxa" w:w="6160"/>
            <w:tcMar>
              <w:top w:w="100" w:type="dxa"/>
              <w:start w:w="130" w:type="dxa"/>
              <w:bottom w:w="100" w:type="dxa"/>
              <w:end w:w="130" w:type="dxa"/>
            </w:tcMar>
            <w:vAlign w:val="center"/>
            <w:shd w:fill="102C3E"/>
          </w:tcPr>
          <w:p>
            <w:pPr>
              <w:spacing w:after="0" w:line="240" w:lineRule="auto"/>
            </w:pPr>
            <w:r>
              <w:rPr>
                <w:rFonts w:ascii="Calibri" w:hAnsi="Calibri"/>
                <w:b/>
                <w:i w:val="0"/>
                <w:color w:val="FFFFFF"/>
                <w:sz w:val="17"/>
              </w:rPr>
              <w:t>Formula</w:t>
            </w:r>
          </w:p>
        </w:tc>
      </w:tr>
      <w:tr>
        <w:tc>
          <w:tcPr>
            <w:tcW w:type="dxa" w:w="3200"/>
            <w:tcMar>
              <w:top w:w="100" w:type="dxa"/>
              <w:start w:w="130" w:type="dxa"/>
              <w:bottom w:w="100" w:type="dxa"/>
              <w:end w:w="130" w:type="dxa"/>
            </w:tcMar>
            <w:vAlign w:val="center"/>
          </w:tcPr>
          <w:p>
            <w:pPr>
              <w:spacing w:after="0" w:line="264" w:lineRule="auto"/>
            </w:pPr>
            <w:r>
              <w:rPr>
                <w:rFonts w:ascii="Calibri" w:hAnsi="Calibri"/>
                <w:b/>
                <w:i w:val="0"/>
                <w:color w:val="1F2930"/>
                <w:sz w:val="18"/>
              </w:rPr>
              <w:t>Contribution margin</w:t>
            </w:r>
          </w:p>
        </w:tc>
        <w:tc>
          <w:tcPr>
            <w:tcW w:type="dxa" w:w="6160"/>
            <w:tcMar>
              <w:top w:w="100" w:type="dxa"/>
              <w:start w:w="130" w:type="dxa"/>
              <w:bottom w:w="100" w:type="dxa"/>
              <w:end w:w="130" w:type="dxa"/>
            </w:tcMar>
            <w:vAlign w:val="center"/>
          </w:tcPr>
          <w:p>
            <w:pPr>
              <w:spacing w:after="0" w:line="264" w:lineRule="auto"/>
            </w:pPr>
            <w:r>
              <w:rPr>
                <w:rFonts w:ascii="Calibri" w:hAnsi="Calibri"/>
                <w:b w:val="0"/>
                <w:i w:val="0"/>
                <w:color w:val="1F2930"/>
                <w:sz w:val="18"/>
              </w:rPr>
              <w:t>Revenue - Direct DME Cost</w:t>
            </w:r>
          </w:p>
        </w:tc>
      </w:tr>
      <w:tr>
        <w:tc>
          <w:tcPr>
            <w:tcW w:type="dxa" w:w="32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Contribution margin %</w:t>
            </w:r>
          </w:p>
        </w:tc>
        <w:tc>
          <w:tcPr>
            <w:tcW w:type="dxa" w:w="61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Contribution Margin / Revenue</w:t>
            </w:r>
          </w:p>
        </w:tc>
      </w:tr>
      <w:tr>
        <w:tc>
          <w:tcPr>
            <w:tcW w:type="dxa" w:w="3200"/>
            <w:tcMar>
              <w:top w:w="100" w:type="dxa"/>
              <w:start w:w="130" w:type="dxa"/>
              <w:bottom w:w="100" w:type="dxa"/>
              <w:end w:w="130" w:type="dxa"/>
            </w:tcMar>
            <w:vAlign w:val="center"/>
          </w:tcPr>
          <w:p>
            <w:pPr>
              <w:spacing w:after="0" w:line="264" w:lineRule="auto"/>
            </w:pPr>
            <w:r>
              <w:rPr>
                <w:rFonts w:ascii="Calibri" w:hAnsi="Calibri"/>
                <w:b/>
                <w:i w:val="0"/>
                <w:color w:val="1F2930"/>
                <w:sz w:val="18"/>
              </w:rPr>
              <w:t>Vendor variance $</w:t>
            </w:r>
          </w:p>
        </w:tc>
        <w:tc>
          <w:tcPr>
            <w:tcW w:type="dxa" w:w="6160"/>
            <w:tcMar>
              <w:top w:w="100" w:type="dxa"/>
              <w:start w:w="130" w:type="dxa"/>
              <w:bottom w:w="100" w:type="dxa"/>
              <w:end w:w="130" w:type="dxa"/>
            </w:tcMar>
            <w:vAlign w:val="center"/>
          </w:tcPr>
          <w:p>
            <w:pPr>
              <w:spacing w:after="0" w:line="264" w:lineRule="auto"/>
            </w:pPr>
            <w:r>
              <w:rPr>
                <w:rFonts w:ascii="Calibri" w:hAnsi="Calibri"/>
                <w:b w:val="0"/>
                <w:i w:val="0"/>
                <w:color w:val="1F2930"/>
                <w:sz w:val="18"/>
              </w:rPr>
              <w:t>Actual DME Cost - Applicable Benchmark</w:t>
            </w:r>
          </w:p>
        </w:tc>
      </w:tr>
      <w:tr>
        <w:tc>
          <w:tcPr>
            <w:tcW w:type="dxa" w:w="32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Vendor variance %</w:t>
            </w:r>
          </w:p>
        </w:tc>
        <w:tc>
          <w:tcPr>
            <w:tcW w:type="dxa" w:w="61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Vendor Variance $ / Applicable Benchmark</w:t>
            </w:r>
          </w:p>
        </w:tc>
      </w:tr>
      <w:tr>
        <w:tc>
          <w:tcPr>
            <w:tcW w:type="dxa" w:w="3200"/>
            <w:tcMar>
              <w:top w:w="100" w:type="dxa"/>
              <w:start w:w="130" w:type="dxa"/>
              <w:bottom w:w="100" w:type="dxa"/>
              <w:end w:w="130" w:type="dxa"/>
            </w:tcMar>
            <w:vAlign w:val="center"/>
          </w:tcPr>
          <w:p>
            <w:pPr>
              <w:spacing w:after="0" w:line="264" w:lineRule="auto"/>
            </w:pPr>
            <w:r>
              <w:rPr>
                <w:rFonts w:ascii="Calibri" w:hAnsi="Calibri"/>
                <w:b/>
                <w:i w:val="0"/>
                <w:color w:val="1F2930"/>
                <w:sz w:val="18"/>
              </w:rPr>
              <w:t>PSF recovery quantity</w:t>
            </w:r>
          </w:p>
        </w:tc>
        <w:tc>
          <w:tcPr>
            <w:tcW w:type="dxa" w:w="6160"/>
            <w:tcMar>
              <w:top w:w="100" w:type="dxa"/>
              <w:start w:w="130" w:type="dxa"/>
              <w:bottom w:w="100" w:type="dxa"/>
              <w:end w:w="130" w:type="dxa"/>
            </w:tcMar>
            <w:vAlign w:val="center"/>
          </w:tcPr>
          <w:p>
            <w:pPr>
              <w:spacing w:after="0" w:line="264" w:lineRule="auto"/>
            </w:pPr>
            <w:r>
              <w:rPr>
                <w:rFonts w:ascii="Calibri" w:hAnsi="Calibri"/>
                <w:b w:val="0"/>
                <w:i w:val="0"/>
                <w:color w:val="1F2930"/>
                <w:sz w:val="18"/>
              </w:rPr>
              <w:t>Count of verified recovered PSF cases</w:t>
            </w:r>
          </w:p>
        </w:tc>
      </w:tr>
      <w:tr>
        <w:tc>
          <w:tcPr>
            <w:tcW w:type="dxa" w:w="3200"/>
            <w:shd w:fill="F7F9FA"/>
            <w:tcMar>
              <w:top w:w="100" w:type="dxa"/>
              <w:start w:w="130" w:type="dxa"/>
              <w:bottom w:w="100" w:type="dxa"/>
              <w:end w:w="130" w:type="dxa"/>
            </w:tcMar>
            <w:vAlign w:val="center"/>
          </w:tcPr>
          <w:p>
            <w:pPr>
              <w:spacing w:after="0" w:line="264" w:lineRule="auto"/>
            </w:pPr>
            <w:r>
              <w:rPr>
                <w:rFonts w:ascii="Calibri" w:hAnsi="Calibri"/>
                <w:b/>
                <w:i w:val="0"/>
                <w:color w:val="1F2930"/>
                <w:sz w:val="18"/>
              </w:rPr>
              <w:t>Revenue recovered</w:t>
            </w:r>
          </w:p>
        </w:tc>
        <w:tc>
          <w:tcPr>
            <w:tcW w:type="dxa" w:w="6160"/>
            <w:shd w:fill="F7F9FA"/>
            <w:tcMar>
              <w:top w:w="100" w:type="dxa"/>
              <w:start w:w="130" w:type="dxa"/>
              <w:bottom w:w="100" w:type="dxa"/>
              <w:end w:w="130" w:type="dxa"/>
            </w:tcMar>
            <w:vAlign w:val="center"/>
          </w:tcPr>
          <w:p>
            <w:pPr>
              <w:spacing w:after="0" w:line="264" w:lineRule="auto"/>
            </w:pPr>
            <w:r>
              <w:rPr>
                <w:rFonts w:ascii="Calibri" w:hAnsi="Calibri"/>
                <w:b w:val="0"/>
                <w:i w:val="0"/>
                <w:color w:val="1F2930"/>
                <w:sz w:val="18"/>
              </w:rPr>
              <w:t>Sum of verified, non-duplicated case recovery amounts</w:t>
            </w:r>
          </w:p>
        </w:tc>
      </w:tr>
      <w:tr>
        <w:tc>
          <w:tcPr>
            <w:tcW w:type="dxa" w:w="3200"/>
            <w:tcMar>
              <w:top w:w="100" w:type="dxa"/>
              <w:start w:w="130" w:type="dxa"/>
              <w:bottom w:w="100" w:type="dxa"/>
              <w:end w:w="130" w:type="dxa"/>
            </w:tcMar>
            <w:vAlign w:val="center"/>
          </w:tcPr>
          <w:p>
            <w:pPr>
              <w:spacing w:after="0" w:line="264" w:lineRule="auto"/>
            </w:pPr>
            <w:r>
              <w:rPr>
                <w:rFonts w:ascii="Calibri" w:hAnsi="Calibri"/>
                <w:b/>
                <w:i w:val="0"/>
                <w:color w:val="1F2930"/>
                <w:sz w:val="18"/>
              </w:rPr>
              <w:t>Open revenue exposure</w:t>
            </w:r>
          </w:p>
        </w:tc>
        <w:tc>
          <w:tcPr>
            <w:tcW w:type="dxa" w:w="6160"/>
            <w:tcMar>
              <w:top w:w="100" w:type="dxa"/>
              <w:start w:w="130" w:type="dxa"/>
              <w:bottom w:w="100" w:type="dxa"/>
              <w:end w:w="130" w:type="dxa"/>
            </w:tcMar>
            <w:vAlign w:val="center"/>
          </w:tcPr>
          <w:p>
            <w:pPr>
              <w:spacing w:after="0" w:line="264" w:lineRule="auto"/>
            </w:pPr>
            <w:r>
              <w:rPr>
                <w:rFonts w:ascii="Calibri" w:hAnsi="Calibri"/>
                <w:b w:val="0"/>
                <w:i w:val="0"/>
                <w:color w:val="1F2930"/>
                <w:sz w:val="18"/>
              </w:rPr>
              <w:t>Sum of revenue at risk for non-recovered PSFs</w:t>
            </w:r>
          </w:p>
        </w:tc>
      </w:tr>
    </w:tbl>
    <w:p>
      <w:pPr>
        <w:spacing w:after="40"/>
      </w:pPr>
    </w:p>
    <w:p>
      <w:pPr>
        <w:pStyle w:val="Heading2"/>
        <w:keepNext/>
      </w:pPr>
      <w:r>
        <w:t>Evidence boundaries</w:t>
      </w:r>
    </w:p>
    <w:p>
      <w:pPr>
        <w:pStyle w:val="ListBullet"/>
        <w:spacing w:after="80" w:line="290" w:lineRule="auto"/>
        <w:ind w:left="540" w:hanging="279"/>
      </w:pPr>
      <w:r>
        <w:rPr>
          <w:rFonts w:ascii="Calibri" w:hAnsi="Calibri"/>
          <w:b w:val="0"/>
          <w:i w:val="0"/>
          <w:color w:val="1F2930"/>
          <w:sz w:val="22"/>
        </w:rPr>
        <w:t>Workflow capabilities are based on the BetterRX DME provider prototype developed for this demonstration.</w:t>
      </w:r>
    </w:p>
    <w:p>
      <w:pPr>
        <w:pStyle w:val="ListBullet"/>
        <w:spacing w:after="80" w:line="290" w:lineRule="auto"/>
        <w:ind w:left="540" w:hanging="279"/>
      </w:pPr>
      <w:r>
        <w:rPr>
          <w:rFonts w:ascii="Calibri" w:hAnsi="Calibri"/>
          <w:b w:val="0"/>
          <w:i w:val="0"/>
          <w:color w:val="1F2930"/>
          <w:sz w:val="22"/>
        </w:rPr>
        <w:t>Brand language and the DME Direct tagline are based on the supplied DME Direct artwork.</w:t>
      </w:r>
    </w:p>
    <w:p>
      <w:pPr>
        <w:pStyle w:val="ListBullet"/>
        <w:spacing w:after="80" w:line="290" w:lineRule="auto"/>
        <w:ind w:left="540" w:hanging="279"/>
      </w:pPr>
      <w:r>
        <w:rPr>
          <w:rFonts w:ascii="Calibri" w:hAnsi="Calibri"/>
          <w:b w:val="0"/>
          <w:i w:val="0"/>
          <w:color w:val="1F2930"/>
          <w:sz w:val="22"/>
        </w:rPr>
        <w:t>All patients, orders, vendors, costs, revenue, benchmarks, PSFs and recovery amounts in the prototype are synthetic.</w:t>
      </w:r>
    </w:p>
    <w:p>
      <w:pPr>
        <w:pStyle w:val="ListBullet"/>
        <w:spacing w:after="80" w:line="290" w:lineRule="auto"/>
        <w:ind w:left="540" w:hanging="279"/>
      </w:pPr>
      <w:r>
        <w:rPr>
          <w:rFonts w:ascii="Calibri" w:hAnsi="Calibri"/>
          <w:b w:val="0"/>
          <w:i w:val="0"/>
          <w:color w:val="1F2930"/>
          <w:sz w:val="22"/>
        </w:rPr>
        <w:t>The business case demonstrates the calculation framework; it does not claim realized savings or revenue.</w:t>
      </w:r>
    </w:p>
    <w:p>
      <w:pPr>
        <w:pStyle w:val="ListBullet"/>
        <w:spacing w:after="80" w:line="290" w:lineRule="auto"/>
        <w:ind w:left="540" w:hanging="279"/>
      </w:pPr>
      <w:r>
        <w:rPr>
          <w:rFonts w:ascii="Calibri" w:hAnsi="Calibri"/>
          <w:b w:val="0"/>
          <w:i w:val="0"/>
          <w:color w:val="1F2930"/>
          <w:sz w:val="22"/>
        </w:rPr>
        <w:t>CMS/local benchmark use in production requires item, geography, effective-date and contract-context governance.</w:t>
      </w:r>
    </w:p>
    <w:p>
      <w:pPr>
        <w:pStyle w:val="Heading2"/>
        <w:keepNext/>
      </w:pPr>
      <w:r>
        <w:t>Demo assets</w:t>
      </w:r>
    </w:p>
    <w:p>
      <w:pPr>
        <w:keepLines w:val="0"/>
        <w:spacing w:before="0" w:after="160" w:line="320" w:lineRule="auto"/>
      </w:pPr>
      <w:r>
        <w:rPr>
          <w:rFonts w:ascii="Calibri" w:hAnsi="Calibri"/>
          <w:b/>
          <w:i w:val="0"/>
          <w:color w:val="102C3E"/>
          <w:sz w:val="21"/>
        </w:rPr>
        <w:t>Public prototype: https://betterrx-dme-provider-prototype.healthrift-9131.chatgpt.site</w:t>
      </w:r>
    </w:p>
    <w:p>
      <w:pPr>
        <w:keepLines w:val="0"/>
        <w:spacing w:before="0" w:after="160" w:line="320" w:lineRule="auto"/>
      </w:pPr>
      <w:r>
        <w:rPr>
          <w:rFonts w:ascii="Calibri" w:hAnsi="Calibri"/>
          <w:b w:val="0"/>
          <w:i/>
          <w:color w:val="68757D"/>
          <w:sz w:val="21"/>
        </w:rPr>
        <w:t>Prepared as a founder and judging companion to the interactive BetterRX + DME+ / DME Direct demonstration.</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6900"/>
      <w:gridCol w:w="2460"/>
    </w:tblGrid>
    <w:tr>
      <w:tc>
        <w:tcPr>
          <w:tcW w:type="dxa" w:w="6900"/>
          <w:tcMar>
            <w:top w:w="100" w:type="dxa"/>
            <w:start w:w="130" w:type="dxa"/>
            <w:bottom w:w="100" w:type="dxa"/>
            <w:end w:w="130" w:type="dxa"/>
          </w:tcMar>
          <w:vAlign w:val="center"/>
        </w:tcPr>
        <w:p>
          <w:pPr>
            <w:jc w:val="left"/>
          </w:pPr>
          <w:r>
            <w:rPr>
              <w:rFonts w:ascii="Calibri" w:hAnsi="Calibri"/>
              <w:b/>
              <w:i w:val="0"/>
              <w:color w:val="68757D"/>
              <w:sz w:val="16"/>
            </w:rPr>
            <w:t>CONFIDENTIAL  |  Founder Demo &amp; Judging</w:t>
          </w:r>
        </w:p>
      </w:tc>
      <w:tc>
        <w:tcPr>
          <w:tcW w:type="dxa" w:w="2460"/>
          <w:tcMar>
            <w:top w:w="100" w:type="dxa"/>
            <w:start w:w="130" w:type="dxa"/>
            <w:bottom w:w="100" w:type="dxa"/>
            <w:end w:w="130" w:type="dxa"/>
          </w:tcMar>
          <w:vAlign w:val="center"/>
        </w:tcPr>
        <w:p>
          <w:pPr>
            <w:jc w:val="right"/>
          </w:pPr>
          <w:r>
            <w:rPr>
              <w:rFonts w:ascii="Calibri" w:hAnsi="Calibri"/>
              <w:b w:val="0"/>
              <w:i w:val="0"/>
              <w:color w:val="68757D"/>
              <w:sz w:val="17"/>
            </w:rPr>
            <w:t xml:space="preserve">Page </w:t>
          </w:r>
          <w:r>
            <w:rPr>
              <w:rFonts w:ascii="Calibri" w:hAnsi="Calibri"/>
              <w:b w:val="0"/>
              <w:i w:val="0"/>
              <w:color w:val="68757D"/>
              <w:sz w:val="17"/>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i w:val="0"/>
        <w:color w:val="68757D"/>
        <w:sz w:val="17"/>
      </w:rPr>
      <w:t>CONFIDENTIAL  |  Prepared for founder review, live demo and judging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8757D"/>
        <w:sz w:val="17"/>
      </w:rPr>
      <w:t>BetterRX + DME+  |  DME Direct Business Case &amp; Methodology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1F29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F66F6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02C3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F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BetterRX + DME+ | DME Direct Business Case and Methodology</dc:title>
  <dc:subject>Founder demo and judging companion</dc:subject>
  <dc:creator>BetterRX + DME+</dc:creator>
  <cp:keywords>BetterRX, DME Direct, DME+, business case, methodology, PSF, contribution margin</cp:keywords>
  <dc:description>Synthetic prototype values are illustrative and require pilot validation.</dc:description>
  <cp:lastModifiedBy/>
  <cp:revision>1</cp:revision>
  <dcterms:created xsi:type="dcterms:W3CDTF">2013-12-23T23:15:00Z</dcterms:created>
  <dcterms:modified xsi:type="dcterms:W3CDTF">2013-12-23T23:15:00Z</dcterms:modified>
  <cp:category/>
</cp:coreProperties>
</file>