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SafetyMAIN Domain Model Specification (SDMS)</w:t>
      </w:r>
    </w:p>
    <w:p>
      <w:r>
        <w:rPr>
          <w:b/>
        </w:rPr>
        <w:t xml:space="preserve">Версия: </w:t>
      </w:r>
      <w:r>
        <w:t>0.1 Foundation</w:t>
        <w:br/>
      </w:r>
      <w:r>
        <w:rPr>
          <w:b/>
        </w:rPr>
        <w:t xml:space="preserve">Статус: </w:t>
      </w:r>
      <w:r>
        <w:t>Рабочий документ</w:t>
        <w:br/>
      </w:r>
      <w:r>
        <w:rPr>
          <w:b/>
        </w:rPr>
        <w:t xml:space="preserve">Назначение: </w:t>
      </w:r>
      <w:r>
        <w:t>Описание доменной модели, сущностей, их атрибутов, связей и жизненного цикла.</w:t>
      </w:r>
    </w:p>
    <w:p>
      <w:pPr>
        <w:pStyle w:val="Heading2"/>
      </w:pPr>
      <w:r>
        <w:t>1. Цель документа</w:t>
      </w:r>
    </w:p>
    <w:p>
      <w:r>
        <w:t>SDMS является основным источником описания предметной области SafetyMAIN. Каждая сущность платформы описывается единообразно и может расширяться без изменения архитектуры.</w:t>
      </w:r>
    </w:p>
    <w:p>
      <w:pPr>
        <w:pStyle w:val="Heading2"/>
      </w:pPr>
      <w:r>
        <w:t>2. Правила описания сущностей</w:t>
      </w:r>
    </w:p>
    <w:p>
      <w:pPr>
        <w:pStyle w:val="ListBullet"/>
      </w:pPr>
      <w:r>
        <w:t>Каждая сущность наследуется от BaseEntity.</w:t>
      </w:r>
    </w:p>
    <w:p>
      <w:pPr>
        <w:pStyle w:val="ListBullet"/>
      </w:pPr>
      <w:r>
        <w:t>Все сущности имеют UUID, версию, статус, историю изменений и владельца.</w:t>
      </w:r>
    </w:p>
    <w:p>
      <w:pPr>
        <w:pStyle w:val="ListBullet"/>
      </w:pPr>
      <w:r>
        <w:t>Дополнительные поля реализуются через механизм Extensions.</w:t>
      </w:r>
    </w:p>
    <w:p>
      <w:pPr>
        <w:pStyle w:val="ListBullet"/>
      </w:pPr>
      <w:r>
        <w:t>Все связи являются именованными и двусторонними.</w:t>
      </w:r>
    </w:p>
    <w:p>
      <w:pPr>
        <w:pStyle w:val="ListBullet"/>
      </w:pPr>
      <w:r>
        <w:t>Любая сущность может иметь вложения, задачи, комментарии и AI-описание.</w:t>
      </w:r>
    </w:p>
    <w:p>
      <w:pPr>
        <w:pStyle w:val="ListBullet"/>
      </w:pPr>
      <w:r>
        <w:t>Каждая сущность может быть использована в графе знаний.</w:t>
      </w:r>
    </w:p>
    <w:p>
      <w:pPr>
        <w:pStyle w:val="Heading2"/>
      </w:pPr>
      <w:r>
        <w:t>3. Базовая сущность BaseEntity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Статус объекта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Версия записи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Владелец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Дата изменения</w:t>
            </w:r>
          </w:p>
        </w:tc>
      </w:tr>
      <w:tr>
        <w:tc>
          <w:tcPr>
            <w:tcW w:type="dxa" w:w="2880"/>
          </w:tcPr>
          <w:p>
            <w:r>
              <w:t>Extensions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Дополнительные поля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Связанные файлы</w:t>
            </w:r>
          </w:p>
        </w:tc>
      </w:tr>
      <w:tr>
        <w:tc>
          <w:tcPr>
            <w:tcW w:type="dxa" w:w="2880"/>
          </w:tcPr>
          <w:p>
            <w:r>
              <w:t>AI 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Автоматическое описание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Векторное представление</w:t>
            </w:r>
          </w:p>
        </w:tc>
      </w:tr>
    </w:tbl>
    <w:p>
      <w:pPr>
        <w:pStyle w:val="Heading2"/>
      </w:pPr>
      <w:r>
        <w:t>4. Каталог доменных сущностей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Сущность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Организация</w:t>
            </w:r>
          </w:p>
        </w:tc>
        <w:tc>
          <w:tcPr>
            <w:tcW w:type="dxa" w:w="4320"/>
          </w:tcPr>
          <w:p>
            <w:r>
              <w:t>Цифровой паспорт предприятия.</w:t>
            </w:r>
          </w:p>
        </w:tc>
      </w:tr>
      <w:tr>
        <w:tc>
          <w:tcPr>
            <w:tcW w:type="dxa" w:w="4320"/>
          </w:tcPr>
          <w:p>
            <w:r>
              <w:t>Подразделение</w:t>
            </w:r>
          </w:p>
        </w:tc>
        <w:tc>
          <w:tcPr>
            <w:tcW w:type="dxa" w:w="4320"/>
          </w:tcPr>
          <w:p>
            <w:r>
              <w:t>Структурная единица организации.</w:t>
            </w:r>
          </w:p>
        </w:tc>
      </w:tr>
      <w:tr>
        <w:tc>
          <w:tcPr>
            <w:tcW w:type="dxa" w:w="4320"/>
          </w:tcPr>
          <w:p>
            <w:r>
              <w:t>Опасный производственный объект</w:t>
            </w:r>
          </w:p>
        </w:tc>
        <w:tc>
          <w:tcPr>
            <w:tcW w:type="dxa" w:w="4320"/>
          </w:tcPr>
          <w:p>
            <w:r>
              <w:t>Карточка ОПО с полным жизненным циклом.</w:t>
            </w:r>
          </w:p>
        </w:tc>
      </w:tr>
      <w:tr>
        <w:tc>
          <w:tcPr>
            <w:tcW w:type="dxa" w:w="4320"/>
          </w:tcPr>
          <w:p>
            <w:r>
              <w:t>Работник</w:t>
            </w:r>
          </w:p>
        </w:tc>
        <w:tc>
          <w:tcPr>
            <w:tcW w:type="dxa" w:w="4320"/>
          </w:tcPr>
          <w:p>
            <w:r>
              <w:t>Профиль сотрудника и его допуски.</w:t>
            </w:r>
          </w:p>
        </w:tc>
      </w:tr>
      <w:tr>
        <w:tc>
          <w:tcPr>
            <w:tcW w:type="dxa" w:w="4320"/>
          </w:tcPr>
          <w:p>
            <w:r>
              <w:t>Профессия</w:t>
            </w:r>
          </w:p>
        </w:tc>
        <w:tc>
          <w:tcPr>
            <w:tcW w:type="dxa" w:w="4320"/>
          </w:tcPr>
          <w:p>
            <w:r>
              <w:t>Описание требований к профессии.</w:t>
            </w:r>
          </w:p>
        </w:tc>
      </w:tr>
      <w:tr>
        <w:tc>
          <w:tcPr>
            <w:tcW w:type="dxa" w:w="4320"/>
          </w:tcPr>
          <w:p>
            <w:r>
              <w:t>Оборудование</w:t>
            </w:r>
          </w:p>
        </w:tc>
        <w:tc>
          <w:tcPr>
            <w:tcW w:type="dxa" w:w="4320"/>
          </w:tcPr>
          <w:p>
            <w:r>
              <w:t>Карточка машины или технического устройства.</w:t>
            </w:r>
          </w:p>
        </w:tc>
      </w:tr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Любой управляемый документ.</w:t>
            </w:r>
          </w:p>
        </w:tc>
      </w:tr>
      <w:tr>
        <w:tc>
          <w:tcPr>
            <w:tcW w:type="dxa" w:w="4320"/>
          </w:tcPr>
          <w:p>
            <w:r>
              <w:t>Нормативный документ</w:t>
            </w:r>
          </w:p>
        </w:tc>
        <w:tc>
          <w:tcPr>
            <w:tcW w:type="dxa" w:w="4320"/>
          </w:tcPr>
          <w:p>
            <w:r>
              <w:t>Источник требований.</w:t>
            </w:r>
          </w:p>
        </w:tc>
      </w:tr>
      <w:tr>
        <w:tc>
          <w:tcPr>
            <w:tcW w:type="dxa" w:w="4320"/>
          </w:tcPr>
          <w:p>
            <w:r>
              <w:t>Заключение ЭПБ</w:t>
            </w:r>
          </w:p>
        </w:tc>
        <w:tc>
          <w:tcPr>
            <w:tcW w:type="dxa" w:w="4320"/>
          </w:tcPr>
          <w:p>
            <w:r>
              <w:t>Экспертиза промышленной безопасности.</w:t>
            </w:r>
          </w:p>
        </w:tc>
      </w:tr>
      <w:tr>
        <w:tc>
          <w:tcPr>
            <w:tcW w:type="dxa" w:w="4320"/>
          </w:tcPr>
          <w:p>
            <w:r>
              <w:t>Разрешение на ведение взрывных работ</w:t>
            </w:r>
          </w:p>
        </w:tc>
        <w:tc>
          <w:tcPr>
            <w:tcW w:type="dxa" w:w="4320"/>
          </w:tcPr>
          <w:p>
            <w:r>
              <w:t>Разрешительная документация.</w:t>
            </w:r>
          </w:p>
        </w:tc>
      </w:tr>
      <w:tr>
        <w:tc>
          <w:tcPr>
            <w:tcW w:type="dxa" w:w="4320"/>
          </w:tcPr>
          <w:p>
            <w:r>
              <w:t>Лицензия</w:t>
            </w:r>
          </w:p>
        </w:tc>
        <w:tc>
          <w:tcPr>
            <w:tcW w:type="dxa" w:w="4320"/>
          </w:tcPr>
          <w:p>
            <w:r>
              <w:t>Лицензии организации.</w:t>
            </w:r>
          </w:p>
        </w:tc>
      </w:tr>
      <w:tr>
        <w:tc>
          <w:tcPr>
            <w:tcW w:type="dxa" w:w="4320"/>
          </w:tcPr>
          <w:p>
            <w:r>
              <w:t>Мероприятие</w:t>
            </w:r>
          </w:p>
        </w:tc>
        <w:tc>
          <w:tcPr>
            <w:tcW w:type="dxa" w:w="4320"/>
          </w:tcPr>
          <w:p>
            <w:r>
              <w:t>Контроль исполнения требований.</w:t>
            </w:r>
          </w:p>
        </w:tc>
      </w:tr>
      <w:tr>
        <w:tc>
          <w:tcPr>
            <w:tcW w:type="dxa" w:w="4320"/>
          </w:tcPr>
          <w:p>
            <w:r>
              <w:t>Программа обучения</w:t>
            </w:r>
          </w:p>
        </w:tc>
        <w:tc>
          <w:tcPr>
            <w:tcW w:type="dxa" w:w="4320"/>
          </w:tcPr>
          <w:p>
            <w:r>
              <w:t>Учебные программы.</w:t>
            </w:r>
          </w:p>
        </w:tc>
      </w:tr>
      <w:tr>
        <w:tc>
          <w:tcPr>
            <w:tcW w:type="dxa" w:w="4320"/>
          </w:tcPr>
          <w:p>
            <w:r>
              <w:t>Презентация</w:t>
            </w:r>
          </w:p>
        </w:tc>
        <w:tc>
          <w:tcPr>
            <w:tcW w:type="dxa" w:w="4320"/>
          </w:tcPr>
          <w:p>
            <w:r>
              <w:t>Материалы обучения.</w:t>
            </w:r>
          </w:p>
        </w:tc>
      </w:tr>
      <w:tr>
        <w:tc>
          <w:tcPr>
            <w:tcW w:type="dxa" w:w="4320"/>
          </w:tcPr>
          <w:p>
            <w:r>
              <w:t>Видео</w:t>
            </w:r>
          </w:p>
        </w:tc>
        <w:tc>
          <w:tcPr>
            <w:tcW w:type="dxa" w:w="4320"/>
          </w:tcPr>
          <w:p>
            <w:r>
              <w:t>Обучающие видеоматериалы.</w:t>
            </w:r>
          </w:p>
        </w:tc>
      </w:tr>
      <w:tr>
        <w:tc>
          <w:tcPr>
            <w:tcW w:type="dxa" w:w="4320"/>
          </w:tcPr>
          <w:p>
            <w:r>
              <w:t>Тест</w:t>
            </w:r>
          </w:p>
        </w:tc>
        <w:tc>
          <w:tcPr>
            <w:tcW w:type="dxa" w:w="4320"/>
          </w:tcPr>
          <w:p>
            <w:r>
              <w:t>Контроль знаний.</w:t>
            </w:r>
          </w:p>
        </w:tc>
      </w:tr>
    </w:tbl>
    <w:p>
      <w:pPr>
        <w:pStyle w:val="Heading2"/>
      </w:pPr>
      <w:r>
        <w:t>5. Шаблон описания каждой сущности</w:t>
      </w:r>
    </w:p>
    <w:p>
      <w:pPr>
        <w:pStyle w:val="ListNumber"/>
      </w:pPr>
      <w:r>
        <w:t>Назначение</w:t>
      </w:r>
    </w:p>
    <w:p>
      <w:pPr>
        <w:pStyle w:val="ListNumber"/>
      </w:pPr>
      <w:r>
        <w:t>Основные поля</w:t>
      </w:r>
    </w:p>
    <w:p>
      <w:pPr>
        <w:pStyle w:val="ListNumber"/>
      </w:pPr>
      <w:r>
        <w:t>Расширяемые поля (Extensions)</w:t>
      </w:r>
    </w:p>
    <w:p>
      <w:pPr>
        <w:pStyle w:val="ListNumber"/>
      </w:pPr>
      <w:r>
        <w:t>Связи с другими сущностями</w:t>
      </w:r>
    </w:p>
    <w:p>
      <w:pPr>
        <w:pStyle w:val="ListNumber"/>
      </w:pPr>
      <w:r>
        <w:t>Бизнес-правила</w:t>
      </w:r>
    </w:p>
    <w:p>
      <w:pPr>
        <w:pStyle w:val="ListNumber"/>
      </w:pPr>
      <w:r>
        <w:t>Жизненный цикл</w:t>
      </w:r>
    </w:p>
    <w:p>
      <w:pPr>
        <w:pStyle w:val="ListNumber"/>
      </w:pPr>
      <w:r>
        <w:t>Документы, которые можно генерировать</w:t>
      </w:r>
    </w:p>
    <w:p>
      <w:pPr>
        <w:pStyle w:val="ListNumber"/>
      </w:pPr>
      <w:r>
        <w:t>AI-функции</w:t>
      </w:r>
    </w:p>
    <w:p>
      <w:pPr>
        <w:pStyle w:val="ListNumber"/>
      </w:pPr>
      <w:r>
        <w:t>Источники нормативных требований</w:t>
      </w:r>
    </w:p>
    <w:p>
      <w:pPr>
        <w:pStyle w:val="ListNumber"/>
      </w:pPr>
      <w:r>
        <w:t>API-операции</w:t>
      </w:r>
    </w:p>
    <w:p>
      <w:pPr>
        <w:pStyle w:val="ListNumber"/>
      </w:pPr>
      <w:r>
        <w:t>Права доступа</w:t>
      </w:r>
    </w:p>
    <w:p>
      <w:pPr>
        <w:pStyle w:val="Heading2"/>
      </w:pPr>
      <w:r>
        <w:t>6. План детализации</w:t>
      </w:r>
    </w:p>
    <w:p>
      <w:pPr>
        <w:pStyle w:val="ListBullet"/>
      </w:pPr>
      <w:r>
        <w:t>Организация</w:t>
      </w:r>
    </w:p>
    <w:p>
      <w:pPr>
        <w:pStyle w:val="ListBullet"/>
      </w:pPr>
      <w:r>
        <w:t>Подразделение</w:t>
      </w:r>
    </w:p>
    <w:p>
      <w:pPr>
        <w:pStyle w:val="ListBullet"/>
      </w:pPr>
      <w:r>
        <w:t>ОПО</w:t>
      </w:r>
    </w:p>
    <w:p>
      <w:pPr>
        <w:pStyle w:val="ListBullet"/>
      </w:pPr>
      <w:r>
        <w:t>Работник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Оборудование</w:t>
      </w:r>
    </w:p>
    <w:p>
      <w:pPr>
        <w:pStyle w:val="ListBullet"/>
      </w:pPr>
      <w:r>
        <w:t>Документы</w:t>
      </w:r>
    </w:p>
    <w:p>
      <w:pPr>
        <w:pStyle w:val="ListBullet"/>
      </w:pPr>
      <w:r>
        <w:t>Нормативная база</w:t>
      </w:r>
    </w:p>
    <w:p>
      <w:pPr>
        <w:pStyle w:val="ListBullet"/>
      </w:pPr>
      <w:r>
        <w:t>Разрешительная документация</w:t>
      </w:r>
    </w:p>
    <w:p>
      <w:pPr>
        <w:pStyle w:val="ListBullet"/>
      </w:pPr>
      <w:r>
        <w:t>Обучение</w:t>
      </w:r>
    </w:p>
    <w:p>
      <w:pPr>
        <w:pStyle w:val="ListBullet"/>
      </w:pPr>
      <w:r>
        <w:t>Граф знаний</w:t>
      </w:r>
    </w:p>
    <w:p>
      <w:pPr>
        <w:pStyle w:val="ListBullet"/>
      </w:pPr>
      <w:r>
        <w:t>AI-агенты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