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de Vreeze is een ervaren en gedreven Scala / Java programmeur. Hij heeft meer dan 15 jaar ervaring op het Java platform. Hij heeft opdrachten gedaan bij sterk uiteenlopende organisaties, vaak volgens de Scrum 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Gedurende zijn “Java / Scala periode” heeft Chris steeds aandacht gehad voor echte innovaties die de “state of the art” beduidend verder brachten, m.b.t. productiviteit en kwaliteit van opgeleverde software, en daardoor klant-tevredenheid. Zo dook hij in een inmiddels ver verleden op eigen initiatief in het Spring framework, toen EJB 1.x/2.x nog de norm waren.</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Later kreeg Chris sterke belangstelling voor Scala. Hoewel in die tijd nog ruim voor de inmiddels antieke maar toch 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waar binnen het team al geruime tijd gebruik van wordt gemaakt. Chris werd bij XML London 2015 uitgenodigd om daarover een presentatie te houden, nadat zijn paper over yaidom werd geaccepteerd. Hij heeft ook andere open source libraries ontwikkeld, zoals een XPath 3.1 parser, waarvan de output AST gebruikt wordt voor bepaalde vormen van statische analyse op XPath expressies. Meerdere teams maken hier inmiddels gebruik van (net als van yaidom). (Als hij nu ook nog eens beknoptere meer to-the-point gebruikersdocumentatie zou schrijven, en net iets meer aandacht zou hebben voor gebruiksgemak, zou hij dat open source werk wellicht wat meer bekendheid kunnen geven.)</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heeft inmiddels ruime ervaring als Scala ontwikkelaar binnen het domein van XBRL, en in ruimere zin in data processing met Scala. De hoge throughput en uitstekende performance van de EBPI XBRL validator, zonder in te leveren op onderhoudbaarheid en betrouwbaarheid, is voor een groot deel zijn verdienste geweest, daarbij sterk </w:t>
      </w:r>
      <w:r>
        <w:rPr>
          <w:rFonts w:eastAsia="Arial Unicode MS" w:cs="Verdana" w:ascii="Verdana" w:hAnsi="Verdana"/>
          <w:color w:val="333399"/>
          <w:sz w:val="20"/>
          <w:lang w:val="nl-NL"/>
        </w:rPr>
        <w:t>l</w:t>
      </w:r>
      <w:r>
        <w:rPr>
          <w:rFonts w:eastAsia="Arial Unicode MS" w:cs="Verdana" w:ascii="Verdana" w:hAnsi="Verdana"/>
          <w:color w:val="333399"/>
          <w:sz w:val="20"/>
          <w:lang w:val="nl-NL"/>
        </w:rPr>
        <w:t>eunend op Scala, als strongly, statically typed “expression-oriented” programmeertaal.</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is als Scala ontwikkelaar met name geinteresseerd in opdrachten waarin voldoende ruimte is voor innovatie (zonder het wiel opnieuw uit te vinden). “Als mens” vindt hij het ook in toenemende mate van belang om achter de produkten of diensten van de opdrachtgever te staan.</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integratie van validatoren in “enterprise-applicaties” (Java-EE, JMS, Spring)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2.12, Java (versie 5 t/m 10), Saxon-EE, en “usual suspects” (Maven, sbt, 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22"/>
      <w:gridCol w:w="2924"/>
      <w:gridCol w:w="3194"/>
    </w:tblGrid>
    <w:tr>
      <w:trPr>
        <w:cantSplit w:val="false"/>
      </w:trPr>
      <w:tc>
        <w:tcPr>
          <w:tcW w:w="2922"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4"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