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3C9883A0" w:rsidR="004F5DF2" w:rsidRPr="00FD03F1" w:rsidRDefault="004F5DF2" w:rsidP="004F5DF2">
      <w:pPr>
        <w:pStyle w:val="Heading1"/>
      </w:pPr>
      <w:r w:rsidRPr="00FD03F1">
        <w:t xml:space="preserve">MPC-MAP Assignment No. </w:t>
      </w:r>
      <w:r w:rsidR="00C828DB" w:rsidRPr="00FD03F1">
        <w:t>1</w:t>
      </w:r>
      <w:r w:rsidR="005E1D8C" w:rsidRPr="00FD03F1">
        <w:t xml:space="preserve"> - Report</w:t>
      </w:r>
    </w:p>
    <w:p w14:paraId="2C640BFA" w14:textId="2EF63CC0" w:rsidR="004F5DF2" w:rsidRPr="00FD03F1" w:rsidRDefault="004F5DF2" w:rsidP="004F5DF2">
      <w:pPr>
        <w:pStyle w:val="Heading2"/>
      </w:pPr>
      <w:r w:rsidRPr="00FD03F1">
        <w:rPr>
          <w:b/>
          <w:bCs/>
        </w:rPr>
        <w:t>Author:</w:t>
      </w:r>
      <w:r w:rsidRPr="00FD03F1">
        <w:t xml:space="preserve"> </w:t>
      </w:r>
      <w:r w:rsidRPr="00FD03F1">
        <w:tab/>
      </w:r>
      <w:r w:rsidR="00C828DB" w:rsidRPr="00FD03F1">
        <w:t>Šimon Prasek</w:t>
      </w:r>
    </w:p>
    <w:p w14:paraId="152C35BD" w14:textId="1E37AA41" w:rsidR="004F5DF2" w:rsidRPr="00FD03F1" w:rsidRDefault="004F5DF2" w:rsidP="004F5DF2">
      <w:pPr>
        <w:pStyle w:val="Heading2"/>
      </w:pPr>
      <w:r w:rsidRPr="00FD03F1">
        <w:rPr>
          <w:b/>
          <w:bCs/>
        </w:rPr>
        <w:t>Date:</w:t>
      </w:r>
      <w:r w:rsidRPr="00FD03F1">
        <w:tab/>
      </w:r>
      <w:r w:rsidRPr="00FD03F1">
        <w:tab/>
      </w:r>
      <w:r w:rsidR="00C828DB" w:rsidRPr="00FD03F1">
        <w:t>21.02.2025</w:t>
      </w:r>
    </w:p>
    <w:p w14:paraId="5C1644D0" w14:textId="77777777" w:rsidR="004F5DF2" w:rsidRPr="00FD03F1" w:rsidRDefault="004F5DF2" w:rsidP="004F5DF2">
      <w:pPr>
        <w:pStyle w:val="Heading2"/>
      </w:pPr>
    </w:p>
    <w:p w14:paraId="472E1950" w14:textId="28787FA3" w:rsidR="004F5DF2" w:rsidRPr="00FD03F1" w:rsidRDefault="004F5DF2" w:rsidP="004F5DF2">
      <w:pPr>
        <w:pStyle w:val="Heading2"/>
      </w:pPr>
      <w:r w:rsidRPr="00FD03F1">
        <w:t>Task 2</w:t>
      </w:r>
    </w:p>
    <w:p w14:paraId="68FB6B3F" w14:textId="35258711" w:rsidR="000C1CFE" w:rsidRPr="000C1CFE" w:rsidRDefault="000C1CFE" w:rsidP="000C1CFE">
      <w:pPr>
        <w:rPr>
          <w:sz w:val="22"/>
          <w:szCs w:val="22"/>
        </w:rPr>
      </w:pPr>
      <w:r w:rsidRPr="000C1CFE">
        <w:rPr>
          <w:sz w:val="22"/>
          <w:szCs w:val="22"/>
        </w:rPr>
        <w:t xml:space="preserve">In this task, I used the MATLAB function std() to determine the standard deviation (sigma). The stored values are then printed </w:t>
      </w:r>
      <w:r w:rsidR="005F469C" w:rsidRPr="000C1CFE">
        <w:rPr>
          <w:sz w:val="22"/>
          <w:szCs w:val="22"/>
        </w:rPr>
        <w:t>onto</w:t>
      </w:r>
      <w:r w:rsidRPr="000C1CFE">
        <w:rPr>
          <w:sz w:val="22"/>
          <w:szCs w:val="22"/>
        </w:rPr>
        <w:t xml:space="preserve"> the console </w:t>
      </w:r>
      <w:r w:rsidRPr="00FD03F1">
        <w:rPr>
          <w:sz w:val="22"/>
          <w:szCs w:val="22"/>
        </w:rPr>
        <w:t>and</w:t>
      </w:r>
      <w:r w:rsidRPr="000C1CFE">
        <w:rPr>
          <w:sz w:val="22"/>
          <w:szCs w:val="22"/>
        </w:rPr>
        <w:t xml:space="preserve"> saved to a .csv file.</w:t>
      </w:r>
      <w:r w:rsidRPr="00FD03F1">
        <w:rPr>
          <w:sz w:val="22"/>
          <w:szCs w:val="22"/>
        </w:rPr>
        <w:t xml:space="preserve"> Then I </w:t>
      </w:r>
      <w:r w:rsidR="00D51416" w:rsidRPr="00FD03F1">
        <w:rPr>
          <w:sz w:val="22"/>
          <w:szCs w:val="22"/>
        </w:rPr>
        <w:t>plotted</w:t>
      </w:r>
      <w:r w:rsidRPr="00FD03F1">
        <w:rPr>
          <w:sz w:val="22"/>
          <w:szCs w:val="22"/>
        </w:rPr>
        <w:t xml:space="preserve"> </w:t>
      </w:r>
      <w:r w:rsidR="00D51416" w:rsidRPr="00FD03F1">
        <w:rPr>
          <w:sz w:val="22"/>
          <w:szCs w:val="22"/>
        </w:rPr>
        <w:t xml:space="preserve">histograms for each channel to a figure. </w:t>
      </w:r>
      <w:r w:rsidR="0082776F" w:rsidRPr="00FD03F1">
        <w:rPr>
          <w:sz w:val="22"/>
          <w:szCs w:val="22"/>
        </w:rPr>
        <w:t xml:space="preserve">The standard deviation is not entirely consistent across </w:t>
      </w:r>
      <w:r w:rsidR="00217A95">
        <w:rPr>
          <w:sz w:val="22"/>
          <w:szCs w:val="22"/>
        </w:rPr>
        <w:t>LIDAR</w:t>
      </w:r>
      <w:r w:rsidR="0000149D" w:rsidRPr="00FD03F1">
        <w:rPr>
          <w:sz w:val="22"/>
          <w:szCs w:val="22"/>
        </w:rPr>
        <w:t xml:space="preserve"> channels</w:t>
      </w:r>
      <w:r w:rsidR="009B4964" w:rsidRPr="00FD03F1">
        <w:rPr>
          <w:sz w:val="22"/>
          <w:szCs w:val="22"/>
        </w:rPr>
        <w:t xml:space="preserve"> and GNSS X and Y axis.</w:t>
      </w:r>
    </w:p>
    <w:p w14:paraId="59586653" w14:textId="77777777" w:rsidR="00322181" w:rsidRPr="00FD03F1" w:rsidRDefault="00322181" w:rsidP="00322181"/>
    <w:tbl>
      <w:tblPr>
        <w:tblStyle w:val="TableGrid"/>
        <w:tblW w:w="9183" w:type="dxa"/>
        <w:jc w:val="center"/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  <w:gridCol w:w="978"/>
        <w:gridCol w:w="877"/>
        <w:gridCol w:w="978"/>
        <w:gridCol w:w="978"/>
      </w:tblGrid>
      <w:tr w:rsidR="000C1CFE" w:rsidRPr="00FD03F1" w14:paraId="77E68A92" w14:textId="77777777" w:rsidTr="000C1CFE">
        <w:trPr>
          <w:trHeight w:val="227"/>
          <w:jc w:val="center"/>
        </w:trPr>
        <w:tc>
          <w:tcPr>
            <w:tcW w:w="7194" w:type="dxa"/>
            <w:gridSpan w:val="8"/>
            <w:tcBorders>
              <w:right w:val="double" w:sz="4" w:space="0" w:color="auto"/>
            </w:tcBorders>
            <w:vAlign w:val="bottom"/>
          </w:tcPr>
          <w:p w14:paraId="3C3A902D" w14:textId="5DEEDA86" w:rsidR="000C1CFE" w:rsidRPr="00FD03F1" w:rsidRDefault="00217A95" w:rsidP="000C1CFE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LIDAR</w:t>
            </w:r>
          </w:p>
        </w:tc>
        <w:tc>
          <w:tcPr>
            <w:tcW w:w="1989" w:type="dxa"/>
            <w:gridSpan w:val="2"/>
            <w:tcBorders>
              <w:left w:val="double" w:sz="4" w:space="0" w:color="auto"/>
            </w:tcBorders>
          </w:tcPr>
          <w:p w14:paraId="4F6F3239" w14:textId="2132E9E1" w:rsidR="000C1CFE" w:rsidRPr="00FD03F1" w:rsidRDefault="000C1CFE" w:rsidP="000C1CFE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GNSS</w:t>
            </w:r>
          </w:p>
        </w:tc>
      </w:tr>
      <w:tr w:rsidR="000C1CFE" w:rsidRPr="00FD03F1" w14:paraId="49EC33D6" w14:textId="479102F3" w:rsidTr="000C1CFE">
        <w:trPr>
          <w:trHeight w:val="227"/>
          <w:jc w:val="center"/>
        </w:trPr>
        <w:tc>
          <w:tcPr>
            <w:tcW w:w="910" w:type="dxa"/>
            <w:vAlign w:val="bottom"/>
          </w:tcPr>
          <w:p w14:paraId="22504DA5" w14:textId="0FC3E132" w:rsidR="000C1CFE" w:rsidRPr="00FD03F1" w:rsidRDefault="000C1CFE" w:rsidP="00B8573F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Ch1</w:t>
            </w:r>
          </w:p>
        </w:tc>
        <w:tc>
          <w:tcPr>
            <w:tcW w:w="910" w:type="dxa"/>
            <w:vAlign w:val="bottom"/>
          </w:tcPr>
          <w:p w14:paraId="7DBF7121" w14:textId="4F52752F" w:rsidR="000C1CFE" w:rsidRPr="00FD03F1" w:rsidRDefault="000C1CFE" w:rsidP="00B8573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Ch2</w:t>
            </w:r>
          </w:p>
        </w:tc>
        <w:tc>
          <w:tcPr>
            <w:tcW w:w="911" w:type="dxa"/>
            <w:vAlign w:val="bottom"/>
          </w:tcPr>
          <w:p w14:paraId="3463F60D" w14:textId="375B4A4A" w:rsidR="000C1CFE" w:rsidRPr="00FD03F1" w:rsidRDefault="000C1CFE" w:rsidP="00B8573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Ch3</w:t>
            </w:r>
          </w:p>
        </w:tc>
        <w:tc>
          <w:tcPr>
            <w:tcW w:w="911" w:type="dxa"/>
            <w:vAlign w:val="bottom"/>
          </w:tcPr>
          <w:p w14:paraId="79E31C52" w14:textId="77D74983" w:rsidR="000C1CFE" w:rsidRPr="00FD03F1" w:rsidRDefault="000C1CFE" w:rsidP="00B8573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Ch4</w:t>
            </w:r>
          </w:p>
        </w:tc>
        <w:tc>
          <w:tcPr>
            <w:tcW w:w="911" w:type="dxa"/>
            <w:vAlign w:val="bottom"/>
          </w:tcPr>
          <w:p w14:paraId="18C2808F" w14:textId="4625F208" w:rsidR="000C1CFE" w:rsidRPr="00FD03F1" w:rsidRDefault="000C1CFE" w:rsidP="00B8573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Ch5</w:t>
            </w:r>
          </w:p>
        </w:tc>
        <w:tc>
          <w:tcPr>
            <w:tcW w:w="911" w:type="dxa"/>
            <w:vAlign w:val="bottom"/>
          </w:tcPr>
          <w:p w14:paraId="78CAB0B5" w14:textId="2830F359" w:rsidR="000C1CFE" w:rsidRPr="00FD03F1" w:rsidRDefault="000C1CFE" w:rsidP="000C1CFE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Ch6</w:t>
            </w:r>
          </w:p>
        </w:tc>
        <w:tc>
          <w:tcPr>
            <w:tcW w:w="911" w:type="dxa"/>
            <w:vAlign w:val="bottom"/>
          </w:tcPr>
          <w:p w14:paraId="12EA09E4" w14:textId="255B32F3" w:rsidR="000C1CFE" w:rsidRPr="00FD03F1" w:rsidRDefault="000C1CFE" w:rsidP="000C1CFE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Ch7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bottom"/>
          </w:tcPr>
          <w:p w14:paraId="378A264D" w14:textId="5ED57D76" w:rsidR="000C1CFE" w:rsidRPr="00FD03F1" w:rsidRDefault="000C1CFE" w:rsidP="000C1CFE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Ch8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14:paraId="4F10C081" w14:textId="13E81558" w:rsidR="000C1CFE" w:rsidRPr="00FD03F1" w:rsidRDefault="000C1CFE" w:rsidP="000C1CFE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78" w:type="dxa"/>
          </w:tcPr>
          <w:p w14:paraId="212AF102" w14:textId="49879D18" w:rsidR="000C1CFE" w:rsidRPr="00FD03F1" w:rsidRDefault="000C1CFE" w:rsidP="000C1CFE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Y</w:t>
            </w:r>
          </w:p>
        </w:tc>
      </w:tr>
      <w:tr w:rsidR="000C1CFE" w:rsidRPr="00FD03F1" w14:paraId="26BB1587" w14:textId="2C1ACEB4" w:rsidTr="000C1CFE">
        <w:trPr>
          <w:trHeight w:val="227"/>
          <w:jc w:val="center"/>
        </w:trPr>
        <w:tc>
          <w:tcPr>
            <w:tcW w:w="910" w:type="dxa"/>
            <w:vAlign w:val="bottom"/>
          </w:tcPr>
          <w:p w14:paraId="7D1BF902" w14:textId="0BD307CA" w:rsidR="000C1CFE" w:rsidRPr="00FD03F1" w:rsidRDefault="000C1CFE" w:rsidP="00B8573F">
            <w:pPr>
              <w:jc w:val="center"/>
              <w:rPr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0.047643</w:t>
            </w:r>
          </w:p>
        </w:tc>
        <w:tc>
          <w:tcPr>
            <w:tcW w:w="910" w:type="dxa"/>
            <w:vAlign w:val="bottom"/>
          </w:tcPr>
          <w:p w14:paraId="352CBF15" w14:textId="39DE8283" w:rsidR="000C1CFE" w:rsidRPr="00FD03F1" w:rsidRDefault="000C1CFE" w:rsidP="00B8573F">
            <w:pPr>
              <w:rPr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0.047084</w:t>
            </w:r>
          </w:p>
        </w:tc>
        <w:tc>
          <w:tcPr>
            <w:tcW w:w="911" w:type="dxa"/>
            <w:vAlign w:val="bottom"/>
          </w:tcPr>
          <w:p w14:paraId="10AB5E20" w14:textId="2841A2EC" w:rsidR="000C1CFE" w:rsidRPr="00FD03F1" w:rsidRDefault="000C1CFE" w:rsidP="00B8573F">
            <w:pPr>
              <w:rPr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0.052441</w:t>
            </w:r>
          </w:p>
        </w:tc>
        <w:tc>
          <w:tcPr>
            <w:tcW w:w="911" w:type="dxa"/>
            <w:vAlign w:val="bottom"/>
          </w:tcPr>
          <w:p w14:paraId="1946AEC5" w14:textId="79140E93" w:rsidR="000C1CFE" w:rsidRPr="00FD03F1" w:rsidRDefault="000C1CFE" w:rsidP="00B8573F">
            <w:pPr>
              <w:rPr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0.047132</w:t>
            </w:r>
          </w:p>
        </w:tc>
        <w:tc>
          <w:tcPr>
            <w:tcW w:w="911" w:type="dxa"/>
            <w:vAlign w:val="bottom"/>
          </w:tcPr>
          <w:p w14:paraId="47AB776F" w14:textId="11800B40" w:rsidR="000C1CFE" w:rsidRPr="00FD03F1" w:rsidRDefault="000C1CFE" w:rsidP="00B8573F">
            <w:pPr>
              <w:rPr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0.054669</w:t>
            </w:r>
          </w:p>
        </w:tc>
        <w:tc>
          <w:tcPr>
            <w:tcW w:w="911" w:type="dxa"/>
            <w:vAlign w:val="bottom"/>
          </w:tcPr>
          <w:p w14:paraId="1811BC30" w14:textId="783C54D0" w:rsidR="000C1CFE" w:rsidRPr="00FD03F1" w:rsidRDefault="000C1CFE" w:rsidP="000C1CFE">
            <w:pPr>
              <w:jc w:val="center"/>
              <w:rPr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0.048171</w:t>
            </w:r>
          </w:p>
        </w:tc>
        <w:tc>
          <w:tcPr>
            <w:tcW w:w="911" w:type="dxa"/>
            <w:vAlign w:val="bottom"/>
          </w:tcPr>
          <w:p w14:paraId="7B6D2F43" w14:textId="3D8EA31A" w:rsidR="000C1CFE" w:rsidRPr="00FD03F1" w:rsidRDefault="000C1CFE" w:rsidP="000C1CFE">
            <w:pPr>
              <w:jc w:val="center"/>
              <w:rPr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0.050804</w:t>
            </w:r>
          </w:p>
        </w:tc>
        <w:tc>
          <w:tcPr>
            <w:tcW w:w="819" w:type="dxa"/>
            <w:tcBorders>
              <w:right w:val="double" w:sz="4" w:space="0" w:color="auto"/>
            </w:tcBorders>
            <w:vAlign w:val="bottom"/>
          </w:tcPr>
          <w:p w14:paraId="072CAB3A" w14:textId="2413F9E2" w:rsidR="000C1CFE" w:rsidRPr="00FD03F1" w:rsidRDefault="000C1CFE" w:rsidP="000C1CFE">
            <w:pPr>
              <w:keepNext/>
              <w:jc w:val="center"/>
              <w:rPr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0.04886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14:paraId="11941A48" w14:textId="6454F4AF" w:rsidR="000C1CFE" w:rsidRPr="00FD03F1" w:rsidRDefault="000C1CFE" w:rsidP="000C1CFE">
            <w:pPr>
              <w:keepNext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0.493923</w:t>
            </w:r>
          </w:p>
        </w:tc>
        <w:tc>
          <w:tcPr>
            <w:tcW w:w="1078" w:type="dxa"/>
          </w:tcPr>
          <w:p w14:paraId="1B789D9E" w14:textId="1F5C4CF6" w:rsidR="000C1CFE" w:rsidRPr="00FD03F1" w:rsidRDefault="000C1CFE" w:rsidP="000C1CFE">
            <w:pPr>
              <w:keepNext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FD03F1">
              <w:rPr>
                <w:rFonts w:ascii="Aptos Narrow" w:hAnsi="Aptos Narrow"/>
                <w:color w:val="000000"/>
                <w:sz w:val="20"/>
                <w:szCs w:val="20"/>
              </w:rPr>
              <w:t>0.547294</w:t>
            </w:r>
          </w:p>
        </w:tc>
      </w:tr>
    </w:tbl>
    <w:p w14:paraId="6E013838" w14:textId="55C80682" w:rsidR="00B8573F" w:rsidRPr="00FD03F1" w:rsidRDefault="00B8573F" w:rsidP="0097524B">
      <w:pPr>
        <w:pStyle w:val="Caption"/>
        <w:rPr>
          <w:sz w:val="20"/>
          <w:szCs w:val="20"/>
        </w:rPr>
      </w:pPr>
      <w:r w:rsidRPr="00FD03F1">
        <w:rPr>
          <w:sz w:val="20"/>
          <w:szCs w:val="20"/>
        </w:rPr>
        <w:t xml:space="preserve">Table </w:t>
      </w:r>
      <w:r w:rsidRPr="00FD03F1">
        <w:rPr>
          <w:sz w:val="20"/>
          <w:szCs w:val="20"/>
        </w:rPr>
        <w:fldChar w:fldCharType="begin"/>
      </w:r>
      <w:r w:rsidRPr="00FD03F1">
        <w:rPr>
          <w:sz w:val="20"/>
          <w:szCs w:val="20"/>
        </w:rPr>
        <w:instrText xml:space="preserve"> SEQ Table \* ARABIC </w:instrText>
      </w:r>
      <w:r w:rsidRPr="00FD03F1">
        <w:rPr>
          <w:sz w:val="20"/>
          <w:szCs w:val="20"/>
        </w:rPr>
        <w:fldChar w:fldCharType="separate"/>
      </w:r>
      <w:r w:rsidR="00DC7EAE">
        <w:rPr>
          <w:noProof/>
          <w:sz w:val="20"/>
          <w:szCs w:val="20"/>
        </w:rPr>
        <w:t>1</w:t>
      </w:r>
      <w:r w:rsidRPr="00FD03F1">
        <w:rPr>
          <w:sz w:val="20"/>
          <w:szCs w:val="20"/>
        </w:rPr>
        <w:fldChar w:fldCharType="end"/>
      </w:r>
      <w:r w:rsidRPr="00FD03F1">
        <w:rPr>
          <w:sz w:val="20"/>
          <w:szCs w:val="20"/>
        </w:rPr>
        <w:t xml:space="preserve"> - Standard deviation of </w:t>
      </w:r>
      <w:r w:rsidR="00217A95">
        <w:rPr>
          <w:sz w:val="20"/>
          <w:szCs w:val="20"/>
        </w:rPr>
        <w:t>LIDAR</w:t>
      </w:r>
      <w:r w:rsidRPr="00FD03F1">
        <w:rPr>
          <w:sz w:val="20"/>
          <w:szCs w:val="20"/>
        </w:rPr>
        <w:t xml:space="preserve"> </w:t>
      </w:r>
      <w:r w:rsidR="000C1CFE" w:rsidRPr="00FD03F1">
        <w:rPr>
          <w:sz w:val="20"/>
          <w:szCs w:val="20"/>
        </w:rPr>
        <w:t>and GNSS sensors</w:t>
      </w:r>
    </w:p>
    <w:p w14:paraId="369E9AF1" w14:textId="77777777" w:rsidR="0097524B" w:rsidRPr="00FD03F1" w:rsidRDefault="0097524B" w:rsidP="0097524B">
      <w:pPr>
        <w:keepNext/>
        <w:jc w:val="center"/>
      </w:pPr>
      <w:r w:rsidRPr="00FD03F1">
        <w:rPr>
          <w:noProof/>
        </w:rPr>
        <w:drawing>
          <wp:inline distT="0" distB="0" distL="0" distR="0" wp14:anchorId="6F278D8F" wp14:editId="660E9661">
            <wp:extent cx="4124864" cy="1638795"/>
            <wp:effectExtent l="0" t="0" r="0" b="0"/>
            <wp:docPr id="1058043184" name="Picture 1" descr="A group of blue and black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43184" name="Picture 1" descr="A group of blue and black graph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541" cy="16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4DCE" w14:textId="330CF988" w:rsidR="0097524B" w:rsidRPr="00FD03F1" w:rsidRDefault="0097524B" w:rsidP="0097524B">
      <w:pPr>
        <w:pStyle w:val="Caption"/>
        <w:jc w:val="center"/>
      </w:pPr>
      <w:r w:rsidRPr="00FD03F1">
        <w:t xml:space="preserve">Figure </w:t>
      </w:r>
      <w:r w:rsidRPr="00FD03F1">
        <w:fldChar w:fldCharType="begin"/>
      </w:r>
      <w:r w:rsidRPr="00FD03F1">
        <w:instrText xml:space="preserve"> SEQ Figure \* ARABIC </w:instrText>
      </w:r>
      <w:r w:rsidRPr="00FD03F1">
        <w:fldChar w:fldCharType="separate"/>
      </w:r>
      <w:r w:rsidR="00DC7EAE">
        <w:rPr>
          <w:noProof/>
        </w:rPr>
        <w:t>1</w:t>
      </w:r>
      <w:r w:rsidRPr="00FD03F1">
        <w:fldChar w:fldCharType="end"/>
      </w:r>
      <w:r w:rsidRPr="00FD03F1">
        <w:t xml:space="preserve"> - </w:t>
      </w:r>
      <w:r w:rsidR="00217A95">
        <w:t>LIDAR</w:t>
      </w:r>
      <w:r w:rsidRPr="00FD03F1">
        <w:t xml:space="preserve"> and GNSS </w:t>
      </w:r>
      <w:proofErr w:type="spellStart"/>
      <w:r w:rsidRPr="00FD03F1">
        <w:t>stds</w:t>
      </w:r>
      <w:proofErr w:type="spellEnd"/>
      <w:r w:rsidRPr="00FD03F1">
        <w:t xml:space="preserve"> histogram</w:t>
      </w:r>
    </w:p>
    <w:p w14:paraId="5620D7BD" w14:textId="6C6AF55E" w:rsidR="004F5DF2" w:rsidRDefault="004F5DF2" w:rsidP="00FE5EB3">
      <w:pPr>
        <w:pStyle w:val="Heading2"/>
      </w:pPr>
      <w:r w:rsidRPr="00FD03F1">
        <w:t>Task 3</w:t>
      </w:r>
    </w:p>
    <w:p w14:paraId="5260B3FD" w14:textId="23886D3F" w:rsidR="00174DB0" w:rsidRDefault="00174DB0" w:rsidP="00174DB0">
      <w:pPr>
        <w:keepNext/>
      </w:pPr>
      <w:r w:rsidRPr="00174DB0">
        <w:t xml:space="preserve">The values in the </w:t>
      </w:r>
      <w:r w:rsidR="00217A95">
        <w:t>LiDAR</w:t>
      </w:r>
      <w:r w:rsidRPr="00174DB0">
        <w:t xml:space="preserve"> covariance matrix are very small, close to zero, indicating that the </w:t>
      </w:r>
      <w:r w:rsidR="00217A95">
        <w:t>LiDAR</w:t>
      </w:r>
      <w:r w:rsidRPr="00174DB0">
        <w:t xml:space="preserve"> sensor provides measurements with low noise and high precision. In contrast, the GNSS covariance matrix contains larger values, suggesting that GNSS measurements have more noise and are less precise.</w:t>
      </w:r>
    </w:p>
    <w:p w14:paraId="1FF972D4" w14:textId="1FFD4585" w:rsidR="00F54366" w:rsidRDefault="00481601" w:rsidP="00F54366">
      <w:pPr>
        <w:keepNext/>
        <w:jc w:val="center"/>
      </w:pPr>
      <w:r>
        <w:rPr>
          <w:noProof/>
        </w:rPr>
        <w:drawing>
          <wp:inline distT="0" distB="0" distL="0" distR="0" wp14:anchorId="2ED0BB42" wp14:editId="79609029">
            <wp:extent cx="3602162" cy="1342529"/>
            <wp:effectExtent l="0" t="0" r="0" b="0"/>
            <wp:docPr id="4701498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49818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421" cy="13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42B" w14:textId="5267F026" w:rsidR="005E1D8C" w:rsidRPr="00FD03F1" w:rsidRDefault="00F54366" w:rsidP="00F543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7EAE">
        <w:rPr>
          <w:noProof/>
        </w:rPr>
        <w:t>2</w:t>
      </w:r>
      <w:r>
        <w:fldChar w:fldCharType="end"/>
      </w:r>
      <w:r>
        <w:t xml:space="preserve"> - Covariance matrices for </w:t>
      </w:r>
      <w:r w:rsidR="00217A95">
        <w:t>LIDAR</w:t>
      </w:r>
      <w:r>
        <w:t xml:space="preserve"> and GNSS</w:t>
      </w:r>
    </w:p>
    <w:p w14:paraId="3975E449" w14:textId="1B7251E6" w:rsidR="00FE5EB3" w:rsidRDefault="00FE5EB3" w:rsidP="00FE5EB3">
      <w:pPr>
        <w:pStyle w:val="Heading2"/>
      </w:pPr>
      <w:r w:rsidRPr="00FD03F1">
        <w:t>Task 4</w:t>
      </w:r>
    </w:p>
    <w:p w14:paraId="72486310" w14:textId="43D3D5B7" w:rsidR="00070AFF" w:rsidRPr="00070AFF" w:rsidRDefault="00C439C7" w:rsidP="00070AFF">
      <w:r>
        <w:t xml:space="preserve">In the figure </w:t>
      </w:r>
      <w:proofErr w:type="gramStart"/>
      <w:r w:rsidR="00C019EC">
        <w:t>its</w:t>
      </w:r>
      <w:proofErr w:type="gramEnd"/>
      <w:r w:rsidR="00876039">
        <w:t xml:space="preserve"> visible that </w:t>
      </w:r>
      <w:r w:rsidR="00217A95">
        <w:t>LIDAR</w:t>
      </w:r>
      <w:r w:rsidR="00876039">
        <w:t xml:space="preserve"> has less noise and is more precise than GNSS which has</w:t>
      </w:r>
      <w:r w:rsidR="005275AF">
        <w:t xml:space="preserve"> more noise</w:t>
      </w:r>
      <w:r w:rsidR="00217A95">
        <w:t>,</w:t>
      </w:r>
      <w:r w:rsidR="00607BA7">
        <w:t xml:space="preserve"> but it could be </w:t>
      </w:r>
      <w:r w:rsidR="00F43E94">
        <w:t xml:space="preserve">improved if we use it with Kalman filter. </w:t>
      </w:r>
    </w:p>
    <w:p w14:paraId="6EF1FE4F" w14:textId="77777777" w:rsidR="009860DD" w:rsidRPr="009860DD" w:rsidRDefault="009860DD" w:rsidP="009860DD"/>
    <w:p w14:paraId="6688310C" w14:textId="77777777" w:rsidR="00FD03F1" w:rsidRPr="00FD03F1" w:rsidRDefault="00FD03F1" w:rsidP="00FD03F1">
      <w:pPr>
        <w:keepNext/>
        <w:jc w:val="center"/>
      </w:pPr>
      <w:r w:rsidRPr="00FD03F1">
        <w:rPr>
          <w:noProof/>
        </w:rPr>
        <w:lastRenderedPageBreak/>
        <w:drawing>
          <wp:inline distT="0" distB="0" distL="0" distR="0" wp14:anchorId="1BF2A4D2" wp14:editId="36D4C574">
            <wp:extent cx="3016333" cy="2263777"/>
            <wp:effectExtent l="0" t="0" r="0" b="3175"/>
            <wp:docPr id="873970712" name="Picture 5" descr="A graph of a norma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70712" name="Picture 5" descr="A graph of a normal distribu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03" cy="226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3767" w14:textId="41742D6B" w:rsidR="00FE5EB3" w:rsidRPr="00FD03F1" w:rsidRDefault="00FD03F1" w:rsidP="00FD03F1">
      <w:pPr>
        <w:pStyle w:val="Caption"/>
        <w:jc w:val="center"/>
      </w:pPr>
      <w:r w:rsidRPr="00FD03F1">
        <w:t xml:space="preserve">Figure </w:t>
      </w:r>
      <w:r w:rsidRPr="00FD03F1">
        <w:fldChar w:fldCharType="begin"/>
      </w:r>
      <w:r w:rsidRPr="00FD03F1">
        <w:instrText xml:space="preserve"> SEQ Figure \* ARABIC </w:instrText>
      </w:r>
      <w:r w:rsidRPr="00FD03F1">
        <w:fldChar w:fldCharType="separate"/>
      </w:r>
      <w:r w:rsidR="00DC7EAE">
        <w:rPr>
          <w:noProof/>
        </w:rPr>
        <w:t>3</w:t>
      </w:r>
      <w:r w:rsidRPr="00FD03F1">
        <w:fldChar w:fldCharType="end"/>
      </w:r>
      <w:r w:rsidRPr="00FD03F1">
        <w:t xml:space="preserve"> - No distribution PDFs for Sensor Noise (mu = 0)</w:t>
      </w:r>
    </w:p>
    <w:p w14:paraId="1ED0ED37" w14:textId="3DAD046B" w:rsidR="00FE5EB3" w:rsidRDefault="00FE5EB3" w:rsidP="00FE5EB3">
      <w:pPr>
        <w:pStyle w:val="Heading2"/>
      </w:pPr>
      <w:r w:rsidRPr="00FD03F1">
        <w:t>Task 5</w:t>
      </w:r>
    </w:p>
    <w:p w14:paraId="6FF5D8A5" w14:textId="77777777" w:rsidR="002C6E39" w:rsidRPr="002C6E39" w:rsidRDefault="002C6E39" w:rsidP="002C6E39">
      <w:pPr>
        <w:rPr>
          <w:lang w:val="en-GB"/>
        </w:rPr>
      </w:pPr>
      <w:r w:rsidRPr="002C6E39">
        <w:rPr>
          <w:lang w:val="en-GB"/>
        </w:rPr>
        <w:t>In the last task, I used a finite state machine to reach the goal. Of course, I didn't succeed on the first try because it depended on factors like which wheel took the first step, etc. However, after a few attempts, I managed to achieve it.</w:t>
      </w:r>
    </w:p>
    <w:p w14:paraId="4AFF530B" w14:textId="77777777" w:rsidR="00DD08EC" w:rsidRPr="00DD08EC" w:rsidRDefault="00DD08EC" w:rsidP="00DD08EC"/>
    <w:p w14:paraId="227CF8E1" w14:textId="77777777" w:rsidR="00DD08EC" w:rsidRDefault="00DD08EC" w:rsidP="00DD08EC">
      <w:pPr>
        <w:keepNext/>
        <w:jc w:val="center"/>
      </w:pPr>
      <w:r>
        <w:rPr>
          <w:noProof/>
        </w:rPr>
        <w:drawing>
          <wp:inline distT="0" distB="0" distL="0" distR="0" wp14:anchorId="34DB04C9" wp14:editId="41AFC235">
            <wp:extent cx="3258581" cy="2103649"/>
            <wp:effectExtent l="0" t="0" r="0" b="0"/>
            <wp:docPr id="30135143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5143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34" cy="211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39BD" w14:textId="7164C393" w:rsidR="00DD08EC" w:rsidRPr="00DD08EC" w:rsidRDefault="00DD08EC" w:rsidP="00DD08E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7EAE">
        <w:rPr>
          <w:noProof/>
        </w:rPr>
        <w:t>4</w:t>
      </w:r>
      <w:r>
        <w:fldChar w:fldCharType="end"/>
      </w:r>
      <w:r>
        <w:t xml:space="preserve"> - Finite State Machine</w:t>
      </w:r>
    </w:p>
    <w:sectPr w:rsidR="00DD08EC" w:rsidRPr="00DD08E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21B19" w14:textId="77777777" w:rsidR="00781FA7" w:rsidRPr="00FD03F1" w:rsidRDefault="00781FA7" w:rsidP="00D8461A">
      <w:r w:rsidRPr="00FD03F1">
        <w:separator/>
      </w:r>
    </w:p>
  </w:endnote>
  <w:endnote w:type="continuationSeparator" w:id="0">
    <w:p w14:paraId="29295E9B" w14:textId="77777777" w:rsidR="00781FA7" w:rsidRPr="00FD03F1" w:rsidRDefault="00781FA7" w:rsidP="00D8461A">
      <w:r w:rsidRPr="00FD03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A12BA" w14:textId="77777777" w:rsidR="00781FA7" w:rsidRPr="00FD03F1" w:rsidRDefault="00781FA7" w:rsidP="00D8461A">
      <w:r w:rsidRPr="00FD03F1">
        <w:separator/>
      </w:r>
    </w:p>
  </w:footnote>
  <w:footnote w:type="continuationSeparator" w:id="0">
    <w:p w14:paraId="79D95DFA" w14:textId="77777777" w:rsidR="00781FA7" w:rsidRPr="00FD03F1" w:rsidRDefault="00781FA7" w:rsidP="00D8461A">
      <w:r w:rsidRPr="00FD03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521482B3" w:rsidR="00D8461A" w:rsidRPr="00FD03F1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FD03F1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03F1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03F1">
      <w:rPr>
        <w:rFonts w:ascii="Times New Roman" w:eastAsia="Times New Roman" w:hAnsi="Times New Roman" w:cs="Times New Roman"/>
        <w:lang w:eastAsia="en-GB"/>
      </w:rPr>
      <w:fldChar w:fldCharType="begin"/>
    </w:r>
    <w:r w:rsidRPr="00FD03F1">
      <w:rPr>
        <w:rFonts w:ascii="Times New Roman" w:eastAsia="Times New Roman" w:hAnsi="Times New Roman" w:cs="Times New Roman"/>
        <w:lang w:eastAsia="en-GB"/>
      </w:rPr>
      <w:instrText xml:space="preserve"> INCLUDEPICTURE "/var/folders/h4/x_2gpmqx1bg45704vk0lm3800000gn/T/com.microsoft.Word/WebArchiveCopyPasteTempFiles/FEEC_color_RGB_EN.png" \* MERGEFORMATINET </w:instrText>
    </w:r>
    <w:r w:rsidRPr="00FD03F1">
      <w:rPr>
        <w:rFonts w:ascii="Times New Roman" w:eastAsia="Times New Roman" w:hAnsi="Times New Roman" w:cs="Times New Roman"/>
        <w:lang w:eastAsia="en-GB"/>
      </w:rPr>
      <w:fldChar w:fldCharType="separate"/>
    </w:r>
    <w:r w:rsidRPr="00FD03F1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Pr="00FD03F1" w:rsidRDefault="00D8461A">
    <w:pPr>
      <w:pStyle w:val="Header"/>
    </w:pPr>
  </w:p>
  <w:p w14:paraId="0A971873" w14:textId="77777777" w:rsidR="00D8461A" w:rsidRPr="00FD03F1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768613">
    <w:abstractNumId w:val="2"/>
  </w:num>
  <w:num w:numId="2" w16cid:durableId="346712599">
    <w:abstractNumId w:val="0"/>
  </w:num>
  <w:num w:numId="3" w16cid:durableId="881675945">
    <w:abstractNumId w:val="1"/>
  </w:num>
  <w:num w:numId="4" w16cid:durableId="922565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0149D"/>
    <w:rsid w:val="00065742"/>
    <w:rsid w:val="00070AFF"/>
    <w:rsid w:val="00073E70"/>
    <w:rsid w:val="000C1CFE"/>
    <w:rsid w:val="000E1A8F"/>
    <w:rsid w:val="00123904"/>
    <w:rsid w:val="00144D3F"/>
    <w:rsid w:val="00174DB0"/>
    <w:rsid w:val="001B0D21"/>
    <w:rsid w:val="00211BBB"/>
    <w:rsid w:val="00217A95"/>
    <w:rsid w:val="00275FD1"/>
    <w:rsid w:val="002C6E39"/>
    <w:rsid w:val="00322181"/>
    <w:rsid w:val="003300AB"/>
    <w:rsid w:val="00355661"/>
    <w:rsid w:val="00371943"/>
    <w:rsid w:val="003C61AF"/>
    <w:rsid w:val="003D4AB9"/>
    <w:rsid w:val="003F5F03"/>
    <w:rsid w:val="004415B9"/>
    <w:rsid w:val="00481601"/>
    <w:rsid w:val="004E7BBA"/>
    <w:rsid w:val="004F5DF2"/>
    <w:rsid w:val="00504558"/>
    <w:rsid w:val="00511FBF"/>
    <w:rsid w:val="0052100D"/>
    <w:rsid w:val="00527240"/>
    <w:rsid w:val="005275AF"/>
    <w:rsid w:val="005402CB"/>
    <w:rsid w:val="00542DE4"/>
    <w:rsid w:val="005773C6"/>
    <w:rsid w:val="005C44AB"/>
    <w:rsid w:val="005E1D8C"/>
    <w:rsid w:val="005E5B17"/>
    <w:rsid w:val="005F469C"/>
    <w:rsid w:val="00607BA7"/>
    <w:rsid w:val="006452E5"/>
    <w:rsid w:val="0065743C"/>
    <w:rsid w:val="00660332"/>
    <w:rsid w:val="006C2C31"/>
    <w:rsid w:val="006D764D"/>
    <w:rsid w:val="006E4250"/>
    <w:rsid w:val="006F4A53"/>
    <w:rsid w:val="006F77B9"/>
    <w:rsid w:val="00700939"/>
    <w:rsid w:val="00717E4F"/>
    <w:rsid w:val="00732DA5"/>
    <w:rsid w:val="007726DC"/>
    <w:rsid w:val="00781FA7"/>
    <w:rsid w:val="0082776F"/>
    <w:rsid w:val="00844068"/>
    <w:rsid w:val="00876039"/>
    <w:rsid w:val="0088230C"/>
    <w:rsid w:val="008D5676"/>
    <w:rsid w:val="0097524B"/>
    <w:rsid w:val="009811A0"/>
    <w:rsid w:val="009860DD"/>
    <w:rsid w:val="009A5D13"/>
    <w:rsid w:val="009B4964"/>
    <w:rsid w:val="00A412A0"/>
    <w:rsid w:val="00A878E5"/>
    <w:rsid w:val="00A90688"/>
    <w:rsid w:val="00B8573F"/>
    <w:rsid w:val="00BF69A2"/>
    <w:rsid w:val="00C0088A"/>
    <w:rsid w:val="00C019EC"/>
    <w:rsid w:val="00C10EA1"/>
    <w:rsid w:val="00C439C7"/>
    <w:rsid w:val="00C573C5"/>
    <w:rsid w:val="00C67589"/>
    <w:rsid w:val="00C828DB"/>
    <w:rsid w:val="00CD405B"/>
    <w:rsid w:val="00D51416"/>
    <w:rsid w:val="00D8461A"/>
    <w:rsid w:val="00D913EE"/>
    <w:rsid w:val="00DC7EAE"/>
    <w:rsid w:val="00DD08EC"/>
    <w:rsid w:val="00EC0506"/>
    <w:rsid w:val="00EF4331"/>
    <w:rsid w:val="00F43E94"/>
    <w:rsid w:val="00F52760"/>
    <w:rsid w:val="00F54366"/>
    <w:rsid w:val="00F54CD8"/>
    <w:rsid w:val="00FD03F1"/>
    <w:rsid w:val="00FD6D2B"/>
    <w:rsid w:val="00F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85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Šimon Prasek</cp:lastModifiedBy>
  <cp:revision>59</cp:revision>
  <cp:lastPrinted>2025-02-21T17:11:00Z</cp:lastPrinted>
  <dcterms:created xsi:type="dcterms:W3CDTF">2022-01-12T12:24:00Z</dcterms:created>
  <dcterms:modified xsi:type="dcterms:W3CDTF">2025-02-21T17:11:00Z</dcterms:modified>
</cp:coreProperties>
</file>