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ỘNG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ÒA XÃ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ỆT NAM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lập - Tự do - Hạnh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úc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------- ***-------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ớc Tỉnh,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ày 11 tháng 12  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ăm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ĐƠN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(V/v: Hành vi gây ô nhi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ễm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ờng)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Kính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ửi: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ỦY BAN 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ÂN DÂN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xã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Tỉnh</w:t>
      </w:r>
    </w:p>
    <w:p>
      <w:pPr>
        <w:tabs>
          <w:tab w:val="left" w:pos="8880" w:leader="dot"/>
        </w:tabs>
        <w:spacing w:before="1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ời tố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Võ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Thanh Thu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  <w:tab/>
        <w:tab/>
        <w:t xml:space="preserve">: 20/06/1958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CMND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</w:t>
        <w:tab/>
        <w:tab/>
        <w:t xml:space="preserve">: 051158000216  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ấp: 01/11/2022    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ấp: CỤC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CỤC CẢNH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HÀNH CHÍNH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TRẬT TỰ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Thiện,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Tỉnh, huyện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tỉnh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Rịa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àu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thoại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  <w:tab/>
        <w:t xml:space="preserve">: 0925404932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ời bị tố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(Bà)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àm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ệc/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ú/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sở</w:t>
        <w:tab/>
        <w:t xml:space="preserve">: ấp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Thiện,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Tỉnh, huyện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tỉnh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àu.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ỘI DUNG TỐ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ÁO: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Tóm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ắt vụ việc: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Hành vi gây ô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ễm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khí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đang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ảy ra tại khu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ấp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Thiện,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Tỉnh, huyện Long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ền, tỉnh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ũng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àu và lan ra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ấp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ận. 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Hành vi này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từ khoảng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2019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kéo dài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hiện nay.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Do (Bà)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xuất mắm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ôm gây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hôi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lân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quyền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ợp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áp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âm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ạm: 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Hành vi này gây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ởng xấu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 sức khoẻ của gia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chúng tôi,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cộng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ồng xung quanh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gây ra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ều bệnh tật cho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ời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à, cho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em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é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ỏ.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áp lý liên quan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ành vi gây ô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ễm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ờng: 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7 Luật Bảo vệ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2014;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ẦU CỦA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ỜI TỐ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ÁO: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ở sản xuất mắm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ôm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ừng ngay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ành vi gây ô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ễm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khí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những khu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ày.</w:t>
      </w:r>
    </w:p>
    <w:p>
      <w:pPr>
        <w:tabs>
          <w:tab w:val="left" w:pos="8880" w:leader="dot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Tôi xin cam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đoan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những nội dung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thật.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ôi xin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ịu mọi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ật nếu cố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sai.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ời tố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ây là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kí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 sát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 dân:</w:t>
      </w:r>
    </w:p>
    <w:p>
      <w:pPr>
        <w:spacing w:before="100" w:after="100" w:line="240"/>
        <w:ind w:right="0" w:left="360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60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