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Windows Client UI Walkthrough</w:t>
      </w:r>
    </w:p>
    <w:p>
      <w:pPr>
        <w:jc w:val="center"/>
      </w:pPr>
      <w:r>
        <w:rPr>
          <w:color w:val="5A6B85"/>
          <w:sz w:val="24"/>
        </w:rPr>
        <w:t>Nanoheal Agent — install + post-install screens</w:t>
        <w:br/>
        <w:t>Chat entry aligned to AEX demo nanoheal-agent-chat (AI Assist)</w:t>
      </w:r>
    </w:p>
    <w:p>
      <w:r>
        <w:t>Source demo: AEX/aex-V1.2/demo/nanoheal-agent-chat — AI Assist beside Search opens a right-side chat overlay. Landing UI underneath is unchanged.</w:t>
      </w:r>
    </w:p>
    <w:p>
      <w:pPr>
        <w:pStyle w:val="Heading1"/>
      </w:pPr>
      <w:r>
        <w:t>Installation pages</w:t>
      </w:r>
    </w:p>
    <w:p>
      <w:pPr>
        <w:pStyle w:val="Heading2"/>
      </w:pPr>
      <w:r>
        <w:t>Prerequisite — System Requirements Verification</w:t>
      </w:r>
    </w:p>
    <w:p>
      <w:r>
        <w:t>Pre-install gate. Runs system checks. Progress bar shows verification state; all green means ready to install.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erequis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01-prerequisite.png</w:t>
      </w:r>
    </w:p>
    <w:p>
      <w:pPr>
        <w:pStyle w:val="Heading2"/>
      </w:pPr>
      <w:r>
        <w:t>Acknowledgement — Terms &amp; Install</w:t>
      </w:r>
    </w:p>
    <w:p>
      <w:r>
        <w:t>Legal consent before install. Acknowledge Terms, then Install (or Cancel).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cknowledg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02-acknowledgement.png</w:t>
      </w:r>
    </w:p>
    <w:p>
      <w:pPr>
        <w:pStyle w:val="Heading2"/>
      </w:pPr>
      <w:r>
        <w:t>Please Wait — Installing</w:t>
      </w:r>
    </w:p>
    <w:p>
      <w:r>
        <w:t>Install progress while packages and services are set up.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lease-wait-inst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03-please-wait-install.png</w:t>
      </w:r>
    </w:p>
    <w:p>
      <w:r>
        <w:t>[missing: 04-please-wait-install-2.png]</w:t>
      </w:r>
    </w:p>
    <w:p>
      <w:pPr>
        <w:pStyle w:val="Heading1"/>
      </w:pPr>
      <w:r>
        <w:t>Post-install pages</w:t>
      </w:r>
    </w:p>
    <w:p>
      <w:pPr>
        <w:pStyle w:val="Heading2"/>
      </w:pPr>
      <w:r>
        <w:t>Landing / Home</w:t>
      </w:r>
    </w:p>
    <w:p>
      <w:r>
        <w:t>Main self-service home: search, category tiles, frequently used resolutions, Device Details, Service History, Sync.</w:t>
      </w:r>
    </w:p>
    <w:p>
      <w:r>
        <w:drawing>
          <wp:inline xmlns:a="http://schemas.openxmlformats.org/drawingml/2006/main" xmlns:pic="http://schemas.openxmlformats.org/drawingml/2006/picture">
            <wp:extent cx="5669280" cy="3056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a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6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05-landing.png</w:t>
      </w:r>
    </w:p>
    <w:p>
      <w:pPr>
        <w:pStyle w:val="Heading2"/>
      </w:pPr>
      <w:r>
        <w:t>Device Details</w:t>
      </w:r>
    </w:p>
    <w:p>
      <w:r>
        <w:t>Machine identity and health snapshot for the current device.</w:t>
      </w:r>
    </w:p>
    <w:p>
      <w:r>
        <w:drawing>
          <wp:inline xmlns:a="http://schemas.openxmlformats.org/drawingml/2006/main" xmlns:pic="http://schemas.openxmlformats.org/drawingml/2006/picture">
            <wp:extent cx="5669280" cy="33324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vice-deta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06-device-details.png</w:t>
      </w:r>
    </w:p>
    <w:p>
      <w:r>
        <w:t>[missing: 07-device-details-2.png]</w:t>
      </w:r>
    </w:p>
    <w:p>
      <w:pPr>
        <w:pStyle w:val="Heading2"/>
      </w:pPr>
      <w:r>
        <w:t>Service History</w:t>
      </w:r>
    </w:p>
    <w:p>
      <w:r>
        <w:t>Past self-service runs and outcomes on this device.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rvice-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08-service-history.png</w:t>
      </w:r>
    </w:p>
    <w:p>
      <w:pPr>
        <w:pStyle w:val="Heading2"/>
      </w:pPr>
      <w:r>
        <w:t>Search</w:t>
      </w:r>
    </w:p>
    <w:p>
      <w:r>
        <w:t>Find resolutions by keyword across the catalog.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09-search.png</w:t>
      </w:r>
    </w:p>
    <w:p>
      <w:pPr>
        <w:pStyle w:val="Heading2"/>
      </w:pPr>
      <w:r>
        <w:t>L3 tile — fix detail</w:t>
      </w:r>
    </w:p>
    <w:p>
      <w:r>
        <w:t>Run a specific fix with description and action.</w:t>
      </w:r>
    </w:p>
    <w:p>
      <w:r>
        <w:drawing>
          <wp:inline xmlns:a="http://schemas.openxmlformats.org/drawingml/2006/main" xmlns:pic="http://schemas.openxmlformats.org/drawingml/2006/picture">
            <wp:extent cx="5669280" cy="33324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3-t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10-l3-tile.png</w:t>
      </w:r>
    </w:p>
    <w:p>
      <w:pPr>
        <w:pStyle w:val="Heading2"/>
      </w:pPr>
      <w:r>
        <w:t>L2 tile — category</w:t>
      </w:r>
    </w:p>
    <w:p>
      <w:r>
        <w:t>Browse fixes inside a category.</w:t>
      </w:r>
    </w:p>
    <w:p>
      <w:r>
        <w:drawing>
          <wp:inline xmlns:a="http://schemas.openxmlformats.org/drawingml/2006/main" xmlns:pic="http://schemas.openxmlformats.org/drawingml/2006/picture">
            <wp:extent cx="5669280" cy="33206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2-t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11-l2-tile.png</w:t>
      </w:r>
    </w:p>
    <w:p>
      <w:pPr>
        <w:pStyle w:val="Heading2"/>
      </w:pPr>
      <w:r>
        <w:t>Support — Call / Email / Chat Now</w:t>
      </w:r>
    </w:p>
    <w:p>
      <w:r>
        <w:t>Footer support entries. Chat Now opens external chat (SSO).</w:t>
      </w:r>
    </w:p>
    <w:p>
      <w:r>
        <w:t>[missing: 12-footer-call.png]</w:t>
      </w:r>
    </w:p>
    <w:p>
      <w:r>
        <w:drawing>
          <wp:inline xmlns:a="http://schemas.openxmlformats.org/drawingml/2006/main" xmlns:pic="http://schemas.openxmlformats.org/drawingml/2006/picture">
            <wp:extent cx="5669280" cy="34234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ooter-em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3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13-footer-email.png</w:t>
      </w:r>
    </w:p>
    <w:p>
      <w:r>
        <w:drawing>
          <wp:inline xmlns:a="http://schemas.openxmlformats.org/drawingml/2006/main" xmlns:pic="http://schemas.openxmlformats.org/drawingml/2006/picture">
            <wp:extent cx="5669280" cy="53149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ooter-still-fac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14-footer-still-facing.png</w:t>
      </w:r>
    </w:p>
    <w:p>
      <w:pPr>
        <w:pStyle w:val="Heading2"/>
      </w:pPr>
      <w:r>
        <w:t>User Survey</w:t>
      </w:r>
    </w:p>
    <w:p>
      <w:r>
        <w:t>Post-fix feedback: stars, outcome chips, optional note.</w:t>
      </w:r>
    </w:p>
    <w:p>
      <w:r>
        <w:drawing>
          <wp:inline xmlns:a="http://schemas.openxmlformats.org/drawingml/2006/main" xmlns:pic="http://schemas.openxmlformats.org/drawingml/2006/picture">
            <wp:extent cx="5669280" cy="371080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user-surve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15-user-survey.png</w:t>
      </w:r>
    </w:p>
    <w:p>
      <w:pPr>
        <w:pStyle w:val="Heading2"/>
      </w:pPr>
      <w:r>
        <w:t>Chat — AI Assist open (AEX demo)</w:t>
      </w:r>
    </w:p>
    <w:p>
      <w:r>
        <w:t>Demo pattern from aex-V1.2/demo/nanoheal-agent-chat: right-side overlay, Nanoheal logo header, greeting Hi. Opens from AI Assist beside Search — not a floating FAB.</w:t>
      </w:r>
    </w:p>
    <w:p>
      <w:r>
        <w:drawing>
          <wp:inline xmlns:a="http://schemas.openxmlformats.org/drawingml/2006/main" xmlns:pic="http://schemas.openxmlformats.org/drawingml/2006/picture">
            <wp:extent cx="5669280" cy="36077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hatbot-pan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16-chatbot-panel.png</w:t>
      </w:r>
    </w:p>
    <w:p>
      <w:pPr>
        <w:pStyle w:val="Heading2"/>
      </w:pPr>
      <w:r>
        <w:t>Chat — AI Assist closed (AEX demo)</w:t>
      </w:r>
    </w:p>
    <w:p>
      <w:r>
        <w:t>Closed entry matching the AEX demo: AI Assist outline button next to Search (.nh-ask-ai). Click to open the chat overlay.</w:t>
      </w:r>
    </w:p>
    <w:p>
      <w:r>
        <w:drawing>
          <wp:inline xmlns:a="http://schemas.openxmlformats.org/drawingml/2006/main" xmlns:pic="http://schemas.openxmlformats.org/drawingml/2006/picture">
            <wp:extent cx="5669280" cy="36077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hatbot-widge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17-chatbot-widget.png</w:t>
      </w:r>
    </w:p>
    <w:p>
      <w:pPr>
        <w:pStyle w:val="Heading2"/>
      </w:pPr>
      <w:r>
        <w:t>Chat Now — Sign in (Nanoheal)</w:t>
      </w:r>
    </w:p>
    <w:p>
      <w:r>
        <w:t>Microsoft sign-in after Chat Now, shown with Nanoheal logo (ADM removed). Production branding is Entra ID company branding.</w:t>
      </w:r>
    </w:p>
    <w:p>
      <w:r>
        <w:drawing>
          <wp:inline xmlns:a="http://schemas.openxmlformats.org/drawingml/2006/main" xmlns:pic="http://schemas.openxmlformats.org/drawingml/2006/picture">
            <wp:extent cx="5669280" cy="53149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ooter-still-fac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18-chat-signin-nanoheal.png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