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Теплопроводность,</w:t>
      </w:r>
      <w:r>
        <w:t xml:space="preserve"> </w:t>
      </w:r>
      <w:r>
        <w:t xml:space="preserve">детерминированное</w:t>
      </w:r>
      <w:r>
        <w:t xml:space="preserve"> </w:t>
      </w:r>
      <w:r>
        <w:t xml:space="preserve">горение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№2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Проанализировать и сравнить численные алгоритмы, применяемые для моделирования теплопроводности при детерминированном горении, с целью оценки их эффективности, устойчивости и точности при решении задач с высокой нелинейностью и резкими градиентами температуры.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Охарактеризовать математическую модель теплопроводности с источником тепла, описывающую процессы при детерминированном горении.</w:t>
      </w:r>
    </w:p>
    <w:p>
      <w:pPr>
        <w:numPr>
          <w:ilvl w:val="0"/>
          <w:numId w:val="1001"/>
        </w:numPr>
      </w:pPr>
      <w:r>
        <w:t xml:space="preserve">Определить ключевые трудности численного моделирования (нелинейность, температурная зависимость коэффициентов, необходимость высокой точности в зоне фронта горения).</w:t>
      </w:r>
    </w:p>
    <w:p>
      <w:pPr>
        <w:numPr>
          <w:ilvl w:val="0"/>
          <w:numId w:val="1001"/>
        </w:numPr>
      </w:pPr>
      <w:r>
        <w:t xml:space="preserve">Рассмотреть три основных алгоритма численного решения: метод конечных разностей, метод конечных элементов, метод подвижных сеток.</w:t>
      </w:r>
    </w:p>
    <w:p>
      <w:pPr>
        <w:numPr>
          <w:ilvl w:val="0"/>
          <w:numId w:val="1001"/>
        </w:numPr>
      </w:pPr>
      <w:r>
        <w:t xml:space="preserve">Проанализировать особенности реализации каждого алгоритма, включая требования к сетке, аппроксимацию производных, устойчивость и сходимость.</w:t>
      </w:r>
    </w:p>
    <w:p>
      <w:pPr>
        <w:numPr>
          <w:ilvl w:val="0"/>
          <w:numId w:val="1001"/>
        </w:numPr>
      </w:pPr>
      <w:r>
        <w:t xml:space="preserve">Сравнить алгоритмы по ряду критериев: точность, вычислительная эффективность, адаптивность, пригодность к сложным геометриям и нелинейным эффектам.</w:t>
      </w:r>
    </w:p>
    <w:p>
      <w:pPr>
        <w:numPr>
          <w:ilvl w:val="0"/>
          <w:numId w:val="1001"/>
        </w:numPr>
      </w:pPr>
      <w:r>
        <w:t xml:space="preserve">Выявить области применимости каждого подхода и дать рекомендации по выбору алгоритма в зависимости от типа задачи.</w:t>
      </w:r>
    </w:p>
    <w:bookmarkEnd w:id="21"/>
    <w:bookmarkStart w:id="5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Тема математического моделирования теплопроводности при детерминированном горении имеет огромное значение для множества областей, включая энергетику, проектирование систем пожарной безопасности, разработку новых огнеупорных материалов, моделирование химических реакторов и даже прогнозирование распространения лесных пожаров.</w:t>
      </w:r>
      <w:r>
        <w:t xml:space="preserve"> </w:t>
      </w:r>
      <w:r>
        <w:t xml:space="preserve">Детерминированное горение, в отличие от турбулентного, характеризуется тем, что процесс горения в значительной степени определяется известными физическими законами, начальными и граничными условиями. Это позволяет нам использовать математические модели для детального прогнозирования поведения системы и оптимизации процесса.</w:t>
      </w:r>
    </w:p>
    <w:p>
      <w:pPr>
        <w:pStyle w:val="BodyText"/>
      </w:pPr>
      <w:r>
        <w:t xml:space="preserve">В нашем докладе мы сфокусируемся на алгоритмах численного решения уравнения теплопроводности с источником тепла, которое описывает распространение тепла и химические реакции в процессе горения. Мы рассмотрим три основных, хорошо зарекомендовавших себя подхода: метод конечных разностей, метод конечных элементов и метод подвижных сеток. Каждый из этих методов обладает своими уникальными преимуществами и ограничениями, которые мы постараемся подробно осветить. Наша главная цель – предоставить вам всесторонний обзор ключевых алгоритмов и их особенностей, чтобы вы могли оценить их применимость к вашим конкретным задачам и сделать осознанный выбор инструмента для моделирования.</w:t>
      </w:r>
    </w:p>
    <w:p>
      <w:pPr>
        <w:pStyle w:val="BodyText"/>
      </w:pPr>
      <w:r>
        <w:t xml:space="preserve">Однако, прежде чем мы перейдем к обсуждению алгоритмов, важно отметить основные трудности, возникающие при моделировании горения. Это, прежде всего, высокая нелинейность задачи, связанная с температурной зависимостью параметров и источником тепла, а также необходимость точного разрешения узкой зоны реакции – фронта горения. Решение этих проблем требует использования специальных численных методов и адаптивных стратегий.</w:t>
      </w:r>
    </w:p>
    <w:bookmarkStart w:id="34" w:name="X1f7148934d7d64d2f264132e186e468f48292c6"/>
    <w:p>
      <w:pPr>
        <w:pStyle w:val="Heading2"/>
      </w:pPr>
      <w:r>
        <w:t xml:space="preserve">Уравнение теплопроводности с источником тепла, граничные условия</w:t>
      </w:r>
    </w:p>
    <w:p>
      <w:pPr>
        <w:pStyle w:val="FirstParagraph"/>
      </w:pPr>
      <w:r>
        <w:t xml:space="preserve">В основе нашего моделирования лежит уравнение теплопроводности с источником тепла. В общем виде оно выглядит так:</w:t>
      </w:r>
    </w:p>
    <w:p>
      <w:pPr>
        <w:pStyle w:val="BodyText"/>
      </w:pPr>
      <w:r>
        <w:drawing>
          <wp:inline>
            <wp:extent cx="3733800" cy="577579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где:</w:t>
      </w:r>
    </w:p>
    <w:p>
      <w:pPr>
        <w:numPr>
          <w:ilvl w:val="0"/>
          <w:numId w:val="1002"/>
        </w:numPr>
        <w:pStyle w:val="Compact"/>
      </w:pPr>
      <m:oMath>
        <m:r>
          <m:t>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плотность материала, зависящая от температуры</w:t>
      </w:r>
    </w:p>
    <w:p>
      <w:pPr>
        <w:numPr>
          <w:ilvl w:val="0"/>
          <w:numId w:val="1002"/>
        </w:numPr>
        <w:pStyle w:val="Compact"/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удельная теплоемкость, зависящая от температуры</w:t>
      </w:r>
    </w:p>
    <w:p>
      <w:pPr>
        <w:numPr>
          <w:ilvl w:val="0"/>
          <w:numId w:val="1002"/>
        </w:numPr>
        <w:pStyle w:val="Compact"/>
      </w:pPr>
      <m:oMath>
        <m:r>
          <m:t>T</m:t>
        </m:r>
      </m:oMath>
      <w:r>
        <w:t xml:space="preserve"> </w:t>
      </w:r>
      <w:r>
        <w:t xml:space="preserve">- температура</w:t>
      </w:r>
    </w:p>
    <w:p>
      <w:pPr>
        <w:numPr>
          <w:ilvl w:val="0"/>
          <w:numId w:val="1002"/>
        </w:numPr>
        <w:pStyle w:val="Compact"/>
      </w:pPr>
      <m:oMath>
        <m:r>
          <m:t>t</m:t>
        </m:r>
      </m:oMath>
      <w:r>
        <w:t xml:space="preserve"> </w:t>
      </w:r>
      <w:r>
        <w:t xml:space="preserve">- время</w:t>
      </w:r>
    </w:p>
    <w:p>
      <w:pPr>
        <w:numPr>
          <w:ilvl w:val="0"/>
          <w:numId w:val="1002"/>
        </w:numPr>
        <w:pStyle w:val="Compact"/>
      </w:pP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коэффициент теплопроводности, зависящий от температуры</w:t>
      </w:r>
    </w:p>
    <w:p>
      <w:pPr>
        <w:numPr>
          <w:ilvl w:val="0"/>
          <w:numId w:val="1002"/>
        </w:numPr>
        <w:pStyle w:val="Compac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C</m:t>
            </m:r>
          </m:e>
        </m:d>
      </m:oMath>
      <w:r>
        <w:t xml:space="preserve"> </w:t>
      </w:r>
      <w:r>
        <w:t xml:space="preserve">- источник тепла, моделирующий процесс горения, зависящий от температуры и концентрации реагентов (C). Часто представляется в виде аррениусовской зависимости:</w:t>
      </w:r>
    </w:p>
    <w:p>
      <w:pPr>
        <w:pStyle w:val="FirstParagraph"/>
      </w:pPr>
      <w:r>
        <w:drawing>
          <wp:inline>
            <wp:extent cx="3727938" cy="824878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938" cy="824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где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- предэкспоненциальный фактор,</w:t>
      </w:r>
      <w:r>
        <w:t xml:space="preserve"> </w:t>
      </w:r>
      <m:oMath>
        <m:r>
          <m:t>E</m:t>
        </m:r>
        <m:r>
          <m:t>a</m:t>
        </m:r>
      </m:oMath>
      <w:r>
        <w:t xml:space="preserve"> </w:t>
      </w:r>
      <w:r>
        <w:t xml:space="preserve">- энергия активации,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- универсальная газовая постоянная.</w:t>
      </w:r>
    </w:p>
    <w:p>
      <w:pPr>
        <w:pStyle w:val="BodyText"/>
      </w:pPr>
      <w:r>
        <w:t xml:space="preserve">Важно подчеркнуть, что зависимость параметров от температуры – это ключевой фактор, определяющий нелинейность задачи. Например, коэффициент теплопроводности может меняться на порядки величины в диапазоне температур, характерных для процесса горения.</w:t>
      </w:r>
    </w:p>
    <w:p>
      <w:pPr>
        <w:pStyle w:val="BodyText"/>
      </w:pPr>
      <w:r>
        <w:t xml:space="preserve">Для корректного решения уравнения теплопроводности необходимо задать граничные условия, описывающие взаимодействие системы с окружающей средой. Наиболее распространенные типы граничных условий:</w:t>
      </w:r>
    </w:p>
    <w:p>
      <w:pPr>
        <w:pStyle w:val="BodyText"/>
      </w:pPr>
      <w:r>
        <w:t xml:space="preserve">Дирихле (1-го рода): заданная температура на границе: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rPr>
                <m:nor/>
                <m:sty m:val="p"/>
              </m:rPr>
              <m:t>границы</m:t>
            </m:r>
          </m:sub>
        </m:sSub>
      </m:oMath>
      <w:r>
        <w:t xml:space="preserve">. Пример: поддержание постоянной температуры на поверхности.</w:t>
      </w:r>
    </w:p>
    <w:p>
      <w:pPr>
        <w:pStyle w:val="BodyText"/>
      </w:pPr>
      <w:r>
        <w:t xml:space="preserve">Неймана (2-го рода): заданный тепловой поток на границе:</w:t>
      </w:r>
    </w:p>
    <w:p>
      <w:pPr>
        <w:pStyle w:val="BodyText"/>
      </w:pPr>
      <w:r>
        <w:drawing>
          <wp:inline>
            <wp:extent cx="1600200" cy="70109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0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нормаль к поверхности,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- плотность теплового потока. Пример: теплоизолированная граница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Робена (3-го рода): смешанное условие, связывающее температуру и тепловой поток:</w:t>
      </w:r>
    </w:p>
    <w:p>
      <w:pPr>
        <w:pStyle w:val="BodyText"/>
      </w:pPr>
      <w:r>
        <w:drawing>
          <wp:inline>
            <wp:extent cx="3733800" cy="51430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4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где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- коэффициент теплоотдачи. Пример: конвективный теплообмен с окружающей средой.</w:t>
      </w:r>
    </w:p>
    <w:p>
      <w:pPr>
        <w:pStyle w:val="BodyText"/>
      </w:pPr>
      <w:r>
        <w:t xml:space="preserve">Иногда, особенно при высоких температурах, необходимо учитывать тепловое излучение с поверхности. В этом случае граничное условие Робена дополняется членом, описывающим излучение по закону Стефана-Больцмана.</w:t>
      </w:r>
    </w:p>
    <w:p>
      <w:pPr>
        <w:pStyle w:val="BodyText"/>
      </w:pPr>
      <w:r>
        <w:t xml:space="preserve">Выбор соответствующих граничных условий критически важен для получения физически достоверных результатов моделирования.</w:t>
      </w:r>
    </w:p>
    <w:bookmarkEnd w:id="34"/>
    <w:bookmarkStart w:id="44" w:name="метод-конечных-разностей-мкр"/>
    <w:p>
      <w:pPr>
        <w:pStyle w:val="Heading2"/>
      </w:pPr>
      <w:r>
        <w:t xml:space="preserve">Метод конечных разностей (МКР)</w:t>
      </w:r>
    </w:p>
    <w:p>
      <w:pPr>
        <w:pStyle w:val="FirstParagraph"/>
      </w:pPr>
      <w:r>
        <w:t xml:space="preserve">Метод конечных разностей (МКР) – это классический и, пожалуй, самый интуитивно понятный способ численного решения дифференциальных уравнений. Основная идея МКР состоит в дискретизации пространственной и временной областей и замене производных в уравнении теплопроводности их разностными аппроксимациями.</w:t>
      </w:r>
    </w:p>
    <w:p>
      <w:pPr>
        <w:pStyle w:val="BodyText"/>
      </w:pPr>
      <w:r>
        <w:t xml:space="preserve">Приведен пример дискретизации одномерной и двумерной областей. Температура вычисляется в дискретных точках (узлах сетки) в дискретные моменты времени. Для аппроксимации производных по времени обычно используются явная и неявная схемы.</w:t>
      </w:r>
    </w:p>
    <w:p>
      <w:pPr>
        <w:pStyle w:val="BodyText"/>
      </w:pPr>
      <w:r>
        <w:t xml:space="preserve">Явная схема. Значение температуры в узле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на новом временном слое</w:t>
      </w:r>
      <w:r>
        <w:t xml:space="preserve"> </w:t>
      </w:r>
      <m:oMath>
        <m:r>
          <m:t>n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вычисляется непосредственно на основе значений температуры в соседних узлах на предыдущем временном слое</w:t>
      </w:r>
      <w:r>
        <w:t xml:space="preserve"> </w:t>
      </w:r>
      <m:oMath>
        <m:r>
          <m:t>n</m:t>
        </m:r>
      </m:oMath>
      <w:r>
        <w:t xml:space="preserve">. Для одномерного уравнения теплопроводности можно использовать следующую аппроксимацию:</w:t>
      </w:r>
    </w:p>
    <w:p>
      <w:pPr>
        <w:pStyle w:val="BodyText"/>
      </w:pPr>
      <w:r>
        <w:drawing>
          <wp:inline>
            <wp:extent cx="3467100" cy="62252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22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Явная схема проста в реализации, но имеет серьезное ограничение на величину шага по времени из-за условия устойчивости Куранта-Фридрихса-Леви (КФЛ). Критерий КФЛ для явной схемы звучит так:</w:t>
      </w:r>
    </w:p>
    <w:p>
      <w:pPr>
        <w:pStyle w:val="BodyText"/>
      </w:pPr>
      <w:r>
        <w:drawing>
          <wp:inline>
            <wp:extent cx="1333500" cy="64187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41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Нарушение этого условия приводит к неустойчивости решения – появлению нефизических осцилляций и быстрому росту ошибки.</w:t>
      </w:r>
    </w:p>
    <w:p>
      <w:pPr>
        <w:pStyle w:val="BodyText"/>
      </w:pPr>
      <w:r>
        <w:t xml:space="preserve">Неявная схема. Значение температуры на новом временном слое вычисляется путем решения системы линейных алгебраических уравнений. Например, для одномерного уравнения:</w:t>
      </w:r>
    </w:p>
    <w:p>
      <w:pPr>
        <w:pStyle w:val="BodyText"/>
      </w:pPr>
      <w:r>
        <w:drawing>
          <wp:inline>
            <wp:extent cx="4533900" cy="562264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62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Неявная схема безусловно устойчива, что позволяет использовать больший шаг по времени, но требует больших вычислительных затрат на каждом шаге для решения системы уравнений.</w:t>
      </w:r>
    </w:p>
    <w:p>
      <w:pPr>
        <w:pStyle w:val="BodyText"/>
      </w:pPr>
      <w:r>
        <w:t xml:space="preserve">При решении нелинейных задач, таких как моделирование горения, даже неявные схемы могут потребовать итерационного решения на каждом временном шаге.</w:t>
      </w:r>
    </w:p>
    <w:p>
      <w:pPr>
        <w:pStyle w:val="BodyText"/>
      </w:pPr>
      <w:r>
        <w:t xml:space="preserve">Выбор между явной и неявной схемой – это всегда компромисс между простотой реализации, устойчивостью и вычислительными затратами. Правильный выбор шага по времени и пространству критически важен для получения точного и устойчивого решения.</w:t>
      </w:r>
    </w:p>
    <w:bookmarkEnd w:id="44"/>
    <w:bookmarkStart w:id="45" w:name="метод-конечных-элементов-мкэ"/>
    <w:p>
      <w:pPr>
        <w:pStyle w:val="Heading2"/>
      </w:pPr>
      <w:r>
        <w:t xml:space="preserve">Метод конечных элементов (МКЭ)</w:t>
      </w:r>
    </w:p>
    <w:p>
      <w:pPr>
        <w:pStyle w:val="FirstParagraph"/>
      </w:pPr>
      <w:r>
        <w:t xml:space="preserve">Метод конечных элементов (МКЭ) – это более мощный и универсальный метод численного решения дифференциальных уравнений, особенно эффективный для задач в областях сложной формы. В МКЭ расчетная область разбивается на совокупность конечных элементов (например, треугольники, четырехугольники, тетраэдры и т.д., как показано на слайде). Внутри каждого элемента решение (в нашем случае, температура) аппроксимируется полиномиальной функцией, называемой базисной функцией.</w:t>
      </w:r>
      <w:r>
        <w:t xml:space="preserve"> </w:t>
      </w:r>
      <w:r>
        <w:t xml:space="preserve">Ключевой особенностью МКЭ является использование вариационной формулировки исходного дифференциального уравнения. Вместо решения самого уравнения теплопроводности, мы ищем функцию, которая минимизирует некоторый функционал, связанный с этим уравнением. Этот функционал представляет собой интеграл по области, содержащий производные от температуры.</w:t>
      </w:r>
    </w:p>
    <w:p>
      <w:pPr>
        <w:pStyle w:val="BodyText"/>
      </w:pPr>
      <w:r>
        <w:t xml:space="preserve">Затем, используя базисные функции, мы аппроксимируем решение внутри каждого элемента и подставляем эту аппроксимацию в вариационную формулировку. После интегрирования по элементам и применения теоремы Грина, мы получаем систему линейных алгебраических уравнений относительно значений температуры в узлах конечных элементов. Эта система уравнений записывается в матричном виде: KU = F, где K - матрица жесткости, U - вектор узловых значений температуры, F - вектор нагрузки.</w:t>
      </w:r>
    </w:p>
    <w:p>
      <w:pPr>
        <w:pStyle w:val="BodyText"/>
      </w:pPr>
      <w:r>
        <w:t xml:space="preserve">Матрица K формируется путем поэлементной сборки. Это означает, что вклад каждого элемента в общую матрицу суммируется. Сборка матрицы – один из самых ресурсоемких этапов в МКЭ.</w:t>
      </w:r>
    </w:p>
    <w:p>
      <w:pPr>
        <w:pStyle w:val="BodyText"/>
      </w:pPr>
      <w:r>
        <w:t xml:space="preserve">МКЭ позволяет использовать различные типы конечных элементов и порядки аппроксимации. Например, можно использовать линейные, квадратичные или кубические базисные функции. Чем выше порядок аппроксимации, тем выше точность решения, но тем больше вычислительные затраты. Выбор типа элемента и порядка аппроксимации зависит от требуемой точности и сложности задачи.</w:t>
      </w:r>
    </w:p>
    <w:p>
      <w:pPr>
        <w:pStyle w:val="BodyText"/>
      </w:pPr>
      <w:r>
        <w:t xml:space="preserve">При моделировании горения, где параметры могут сильно зависеть от температуры, необходимо использовать итерационные методы решения нелинейных систем уравнений, такие как метод Ньютона-Рафсона.</w:t>
      </w:r>
    </w:p>
    <w:bookmarkEnd w:id="45"/>
    <w:bookmarkStart w:id="52" w:name="метод-подвижных-сеток-мпс"/>
    <w:p>
      <w:pPr>
        <w:pStyle w:val="Heading2"/>
      </w:pPr>
      <w:r>
        <w:t xml:space="preserve">Метод подвижных сеток (МПС)</w:t>
      </w:r>
    </w:p>
    <w:p>
      <w:pPr>
        <w:pStyle w:val="FirstParagraph"/>
      </w:pPr>
      <w:r>
        <w:t xml:space="preserve">При моделировании горения часто возникает узкая зона реакции – фронт горения. Для точного разрешения этой зоны необходимо значительное сгущение сетки вблизи фронта. Использование равномерной сетки с высоким разрешением по всей области расчета неэффективно и требует огромных вычислительных ресурсов. Метод подвижных сеток (МПС) позволяет адаптировать сетку к фронту горения, перемещая узлы сетки таким образом, чтобы они концентрировались в областях с высокими градиентами температуры или концентрации.</w:t>
      </w:r>
    </w:p>
    <w:p>
      <w:pPr>
        <w:pStyle w:val="BodyText"/>
      </w:pPr>
      <w:r>
        <w:t xml:space="preserve">Ключевым элементом МПС является уравнение для скорости узлов сетки. Существует множество подходов к определению этого уравнения. Вот несколько примеров:</w:t>
      </w:r>
    </w:p>
    <w:p>
      <w:pPr>
        <w:pStyle w:val="BodyText"/>
      </w:pPr>
      <w:r>
        <w:t xml:space="preserve">На основе градиента температуры:</w:t>
      </w:r>
    </w:p>
    <w:p>
      <w:pPr>
        <w:pStyle w:val="BodyText"/>
      </w:pPr>
      <w:r>
        <w:drawing>
          <wp:inline>
            <wp:extent cx="1600200" cy="63464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34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где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- скорость</w:t>
      </w:r>
      <w:r>
        <w:t xml:space="preserve"> </w:t>
      </w:r>
      <m:oMath>
        <m:r>
          <m:t>i</m:t>
        </m:r>
      </m:oMath>
      <w:r>
        <w:t xml:space="preserve">-го узла сетки,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- коэффициент адаптации, определяющий интенсивность перемещения сетки,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∂</m:t>
                </m:r>
                <m:r>
                  <m:t>T</m:t>
                </m:r>
                <m:r>
                  <m:rPr>
                    <m:sty m:val="p"/>
                  </m:rPr>
                  <m:t>/</m:t>
                </m:r>
                <m:r>
                  <m:rPr>
                    <m:sty m:val="p"/>
                  </m:rPr>
                  <m:t>∂</m:t>
                </m:r>
                <m:r>
                  <m:t>x</m:t>
                </m:r>
              </m:e>
            </m:d>
          </m:e>
          <m:sub>
            <m:r>
              <m:t>i</m:t>
            </m:r>
          </m:sub>
        </m:sSub>
      </m:oMath>
      <w:r>
        <w:t xml:space="preserve"> </w:t>
      </w:r>
      <w:r>
        <w:t xml:space="preserve">- градиент температуры в</w:t>
      </w:r>
      <w:r>
        <w:t xml:space="preserve"> </w:t>
      </w:r>
      <m:oMath>
        <m:r>
          <m:t>i</m:t>
        </m:r>
      </m:oMath>
      <w:r>
        <w:t xml:space="preserve">-м узле сетки. Этот подход прост в реализации, но может приводить к чрезмерному сгущению узлов в областях с небольшими, но все же существенными градиентами.</w:t>
      </w:r>
    </w:p>
    <w:p>
      <w:pPr>
        <w:pStyle w:val="BodyText"/>
      </w:pPr>
      <w:r>
        <w:t xml:space="preserve">На основе кривизны:</w:t>
      </w:r>
    </w:p>
    <w:p>
      <w:pPr>
        <w:pStyle w:val="BodyText"/>
      </w:pPr>
      <w:r>
        <w:drawing>
          <wp:inline>
            <wp:extent cx="1317247" cy="460397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247" cy="460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где</w:t>
      </w:r>
      <w:r>
        <w:t xml:space="preserve"> </w:t>
      </w:r>
      <m:oMath>
        <m:sSub>
          <m:e>
            <m:r>
              <m:t>κ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кривизна изолинии температуры в</w:t>
      </w:r>
      <w:r>
        <w:t xml:space="preserve"> </w:t>
      </w:r>
      <m:oMath>
        <m:r>
          <m:t>i</m:t>
        </m:r>
      </m:oMath>
      <w:r>
        <w:t xml:space="preserve">-м узле сетки. Этот подход позволяет сгущать узлы вблизи фронта горения, даже если градиент температуры относительно невелик.</w:t>
      </w:r>
    </w:p>
    <w:p>
      <w:pPr>
        <w:pStyle w:val="BodyText"/>
      </w:pPr>
      <w:r>
        <w:t xml:space="preserve">На основе ошибки решения: Скорость узлов определяется таким образом, чтобы минимизировать оценку ошибки численного решения.Этот подход является наиболее сложным в реализации, но может обеспечить оптимальное распределение узлов сетки.</w:t>
      </w:r>
    </w:p>
    <w:p>
      <w:pPr>
        <w:pStyle w:val="BodyText"/>
      </w:pPr>
      <w:r>
        <w:t xml:space="preserve">Алгоритм перемещения сетки обычно включает несколько этапов:</w:t>
      </w:r>
      <w:r>
        <w:t xml:space="preserve"> </w:t>
      </w:r>
      <w:r>
        <w:t xml:space="preserve">Вычисление скорости узлов сетки на основе выбранного критерия.</w:t>
      </w:r>
      <w:r>
        <w:t xml:space="preserve"> </w:t>
      </w:r>
      <w:r>
        <w:t xml:space="preserve">Перемещение узлов сетки на небольшое расстояние в соответствии с вычисленной скоростью.</w:t>
      </w:r>
      <w:r>
        <w:t xml:space="preserve"> </w:t>
      </w:r>
      <w:r>
        <w:t xml:space="preserve">Проверка качества сетки (например, минимальный угол элемента). Если качество сетки ухудшилось (например, элементы стали слишком вытянутыми), выполняется процедура решеинга – перестроения сетки.</w:t>
      </w:r>
    </w:p>
    <w:p>
      <w:pPr>
        <w:pStyle w:val="BodyText"/>
      </w:pPr>
      <w:r>
        <w:t xml:space="preserve">Решение – это важный этап в МПС, который позволяет поддерживать качество сетки и предотвращать возникновение численных ошибок. Решеинг может быть локальным (перестраиваются только отдельные элементы) или глобальным (перестраивается вся сетка).</w:t>
      </w:r>
    </w:p>
    <w:p>
      <w:pPr>
        <w:pStyle w:val="BodyText"/>
      </w:pPr>
      <w:r>
        <w:t xml:space="preserve">Использование МПС позволяет значительно повысить точность решения вблизи фронта горения, сохраняя при этом умеренное количество узлов сетки. Однако МПС требует более сложной реализации и тщательной настройки параметров адаптации и решеинга.”</w:t>
      </w:r>
    </w:p>
    <w:bookmarkEnd w:id="52"/>
    <w:bookmarkEnd w:id="53"/>
    <w:bookmarkStart w:id="5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заключение, мы рассмотрели три основных алгоритма численного решения задачи теплопроводности при детерминированном горении: метод конечных разностей, метод конечных элементов и метод подвижных сеток.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745"/>
        <w:gridCol w:w="1478"/>
        <w:gridCol w:w="1689"/>
        <w:gridCol w:w="200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Критерий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МКР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МКЭ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МПС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Простота реализации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Высокая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Средняя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Низкая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Точность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Средняя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Высокая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Очень высокая (вблизи фронта)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Вычислительные затраты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Низкие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Средние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Высокие (особеннопри адаптации сетки)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Сложная геометрия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Ограничена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Подходит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Подходит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Адаптация к фронту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Нет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Нет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Устойчивость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Зависит от схемы (явная/неявная)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Обычно высокая (неявные схемы)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Требует особого внимания</w:t>
            </w:r>
          </w:p>
        </w:tc>
      </w:tr>
    </w:tbl>
    <w:p>
      <w:pPr>
        <w:pStyle w:val="BodyText"/>
      </w:pPr>
      <w:r>
        <w:t xml:space="preserve">Здесь представлена сравнительная таблица рассмотренных алгоритмов по ключевым критериям. Как видите, каждый метод имеет свои сильные и слабые стороны. Выбор конкретного алгоритма зависит от специфики задачи, требуемой точности и доступных вычислительных ресурсов. Например, для простых задач с небольшими требованиями к точности подойдет МКР. Для задач со сложной геометрией и высокими требованиями к точности лучше использовать МКЭ. А для задач, где важна высокая точность вблизи фронта горения, оптимальным выбором будет МПС.</w:t>
      </w:r>
    </w:p>
    <w:p>
      <w:pPr>
        <w:pStyle w:val="BodyText"/>
      </w:pPr>
      <w:r>
        <w:t xml:space="preserve">Эта таблица является отправной точкой для нашего дальнейшего выбора и комбинации алгоритмов.</w:t>
      </w:r>
    </w:p>
    <w:bookmarkEnd w:id="54"/>
    <w:bookmarkStart w:id="55" w:name="источники"/>
    <w:p>
      <w:pPr>
        <w:pStyle w:val="Heading1"/>
      </w:pPr>
      <w:r>
        <w:t xml:space="preserve">Источники</w:t>
      </w:r>
    </w:p>
    <w:p>
      <w:pPr>
        <w:pStyle w:val="FirstParagraph"/>
      </w:pPr>
      <w:r>
        <w:t xml:space="preserve">Медведев Д. А., Куперштох А. Л., Прууэл Э. Р., Сатонкина Н. П., Карпов Д. И. Моделирование физических процессов и явлений на ПК: Учеб. пособие / Новосибирск: Новосиб. гос. ун-т., 2010. — 101 с.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Теплопроводность, детерминированное горение</dc:title>
  <dc:creator/>
  <dc:language>ru-RU</dc:language>
  <cp:keywords/>
  <dcterms:created xsi:type="dcterms:W3CDTF">2025-04-12T11:21:46Z</dcterms:created>
  <dcterms:modified xsi:type="dcterms:W3CDTF">2025-04-12T11:21:46Z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lTitle">
    <vt:lpwstr>Листинги</vt:lpwstr>
  </property>
  <property fmtid="{D5CDD505-2E9C-101B-9397-08002B2CF9AE}" pid="18" name="lot">
    <vt:lpwstr>False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Этап №2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