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495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1"/>
        <w:gridCol w:w="5602"/>
        <w:gridCol w:w="2914"/>
        <w:gridCol w:w="2"/>
        <w:gridCol w:w="973"/>
        <w:gridCol w:w="2231"/>
      </w:tblGrid>
      <w:tr>
        <w:trPr>
          <w:trHeight w:val="338" w:hRule="atLeast"/>
        </w:trPr>
        <w:tc>
          <w:tcPr>
            <w:tcW w:w="15243" w:type="dxa"/>
            <w:gridSpan w:val="6"/>
            <w:tcBorders/>
            <w:shd w:color="auto" w:fill="808080" w:themeFill="background1" w:themeFillShade="80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jc w:val="center"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FFFFFF" w:themeColor="background1"/>
                <w:sz w:val="40"/>
                <w:szCs w:val="20"/>
              </w:rPr>
              <w:t>Risk Assessment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Risk Assessment for the activity of</w:t>
            </w:r>
          </w:p>
        </w:tc>
        <w:tc>
          <w:tcPr>
            <w:tcW w:w="8518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Machine Learning with Chomp!</w:t>
            </w:r>
          </w:p>
        </w:tc>
        <w:tc>
          <w:tcPr>
            <w:tcW w:w="97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Date</w:t>
            </w:r>
          </w:p>
        </w:tc>
        <w:tc>
          <w:tcPr>
            <w:tcW w:w="22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10/03/18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Unit/Faculty/Directorate</w:t>
            </w:r>
          </w:p>
        </w:tc>
        <w:tc>
          <w:tcPr>
            <w:tcW w:w="560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NGCM / FEE</w:t>
            </w:r>
          </w:p>
        </w:tc>
        <w:tc>
          <w:tcPr>
            <w:tcW w:w="291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Assessor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Line Manager/Supervisor</w:t>
            </w:r>
          </w:p>
        </w:tc>
        <w:tc>
          <w:tcPr>
            <w:tcW w:w="560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  <w:t>Ian Hawke</w:t>
            </w:r>
          </w:p>
        </w:tc>
        <w:tc>
          <w:tcPr>
            <w:tcW w:w="291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Signed off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</w:r>
          </w:p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</w:r>
          </w:p>
        </w:tc>
      </w:tr>
    </w:tbl>
    <w:p>
      <w:pPr>
        <w:pStyle w:val="Normal"/>
        <w:shd w:val="clear" w:color="auto" w:fill="BFBFBF" w:themeFill="background1" w:themeFillShade="bf"/>
        <w:spacing w:before="0" w:after="0"/>
        <w:rPr>
          <w:rFonts w:ascii="Georgia" w:hAnsi="Georgia"/>
          <w:sz w:val="2"/>
          <w:szCs w:val="2"/>
        </w:rPr>
      </w:pPr>
      <w:r>
        <w:rPr>
          <w:rFonts w:ascii="Georgia" w:hAnsi="Georgia"/>
          <w:sz w:val="2"/>
          <w:szCs w:val="2"/>
        </w:rPr>
      </w:r>
    </w:p>
    <w:p>
      <w:pPr>
        <w:pStyle w:val="Normal"/>
        <w:rPr/>
      </w:pPr>
      <w:r>
        <w:rPr/>
      </w:r>
    </w:p>
    <w:tbl>
      <w:tblPr>
        <w:tblStyle w:val="TableGrid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7"/>
        <w:gridCol w:w="2733"/>
        <w:gridCol w:w="1948"/>
        <w:gridCol w:w="3"/>
        <w:gridCol w:w="479"/>
        <w:gridCol w:w="482"/>
        <w:gridCol w:w="482"/>
        <w:gridCol w:w="3047"/>
        <w:gridCol w:w="6"/>
        <w:gridCol w:w="476"/>
        <w:gridCol w:w="482"/>
        <w:gridCol w:w="482"/>
        <w:gridCol w:w="3029"/>
      </w:tblGrid>
      <w:tr>
        <w:trPr>
          <w:tblHeader w:val="true"/>
        </w:trPr>
        <w:tc>
          <w:tcPr>
            <w:tcW w:w="15396" w:type="dxa"/>
            <w:gridSpan w:val="13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 xml:space="preserve">PART A </w:t>
            </w:r>
          </w:p>
        </w:tc>
      </w:tr>
      <w:tr>
        <w:trPr>
          <w:tblHeader w:val="true"/>
        </w:trPr>
        <w:tc>
          <w:tcPr>
            <w:tcW w:w="6431" w:type="dxa"/>
            <w:gridSpan w:val="4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4496" w:type="dxa"/>
            <w:gridSpan w:val="5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4469" w:type="dxa"/>
            <w:gridSpan w:val="4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(3) Risk management</w:t>
            </w:r>
          </w:p>
        </w:tc>
      </w:tr>
      <w:tr>
        <w:trPr>
          <w:tblHeader w:val="true"/>
        </w:trPr>
        <w:tc>
          <w:tcPr>
            <w:tcW w:w="1747" w:type="dxa"/>
            <w:vMerge w:val="restart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Hazard</w:t>
            </w:r>
          </w:p>
        </w:tc>
        <w:tc>
          <w:tcPr>
            <w:tcW w:w="2733" w:type="dxa"/>
            <w:vMerge w:val="restart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Potential Consequences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restart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Who might be harmed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3029" w:type="dxa"/>
            <w:vMerge w:val="restart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>
        <w:trPr>
          <w:tblHeader w:val="true"/>
          <w:trHeight w:val="1510" w:hRule="exact"/>
          <w:cantSplit w:val="true"/>
        </w:trPr>
        <w:tc>
          <w:tcPr>
            <w:tcW w:w="1747" w:type="dxa"/>
            <w:vMerge w:val="continue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3" w:type="dxa"/>
            <w:vMerge w:val="continue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continue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9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29" w:type="dxa"/>
            <w:vMerge w:val="continue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Incorrect lifting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technique (during event setup)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Musculoskeletal injury,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particularly to the back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Limit lifting of tables / heavy equipment, only take laptops &amp; lighter loads, split items into lighter loads, use good posture when lifting, some of the students have done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handling training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Tripping hazard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Falls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staff,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Locate activity near power outlets and provide extension cables to reduce number of cables, tape down cables to floor &amp; tables, manage traffic in the room effectively, discourage running when children are present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Choking and ingestion (of plastic beads)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Obstruction to breathing, swallowing small plastic parts.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 children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4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8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Beads to be moved around the activity by demonstrators only.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Unused beads kept in clipped-shut boxes out of sight of public.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Floor monitored for any dropped beads.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Contact of nearest on-call first aider known by all demonstrators.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Non-toxic, food-safe 5mm diameter plastic beads used. 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Electrical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equipment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Electrocution, outbreak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 fire, burns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Only use safety (PAT) tested equipment, no use of damaged equipment including leads and plugs, do not cover vents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Ingestion of allergens in Chomp Chocolate bars</w:t>
            </w:r>
          </w:p>
        </w:tc>
        <w:tc>
          <w:tcPr>
            <w:tcW w:w="2733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Allergic Reaction</w:t>
            </w:r>
          </w:p>
        </w:tc>
        <w:tc>
          <w:tcPr>
            <w:tcW w:w="1948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Public</w:t>
            </w:r>
          </w:p>
        </w:tc>
        <w:tc>
          <w:tcPr>
            <w:tcW w:w="482" w:type="dxa"/>
            <w:gridSpan w:val="2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47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Chomp contains MILK. Advise chocolate not friendly for those who are lactose intolerant </w:t>
            </w:r>
            <w:r>
              <w:rPr/>
              <w:t>and have a clearly displayed sign.</w:t>
            </w:r>
            <w:r>
              <w:rPr/>
              <w:t xml:space="preserve"> Chomp packaging suggests chocolate is free from nuts.</w:t>
            </w:r>
          </w:p>
        </w:tc>
        <w:tc>
          <w:tcPr>
            <w:tcW w:w="482" w:type="dxa"/>
            <w:gridSpan w:val="2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2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  <w:bCs/>
                <w:sz w:val="22"/>
                <w:szCs w:val="22"/>
              </w:rPr>
            </w:pPr>
            <w:r>
              <w:rPr>
                <w:rFonts w:ascii="Lucida Sans" w:hAnsi="Lucida San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029" w:type="dxa"/>
            <w:tcBorders>
              <w:top w:val="nil"/>
            </w:tcBorders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17"/>
        <w:gridCol w:w="4470"/>
        <w:gridCol w:w="1543"/>
        <w:gridCol w:w="116"/>
        <w:gridCol w:w="1017"/>
        <w:gridCol w:w="1160"/>
        <w:gridCol w:w="4302"/>
        <w:gridCol w:w="1772"/>
      </w:tblGrid>
      <w:tr>
        <w:trPr>
          <w:trHeight w:val="425" w:hRule="atLeast"/>
          <w:cantSplit w:val="true"/>
        </w:trPr>
        <w:tc>
          <w:tcPr>
            <w:tcW w:w="1539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>PART B – Action Plan</w:t>
            </w:r>
          </w:p>
        </w:tc>
      </w:tr>
      <w:tr>
        <w:trPr>
          <w:cantSplit w:val="true"/>
        </w:trPr>
        <w:tc>
          <w:tcPr>
            <w:tcW w:w="1539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 w:val="40"/>
                <w:szCs w:val="20"/>
              </w:rPr>
              <w:t>Risk Assessment Action Plan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Part no.</w:t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Action to be taken, incl. Cost</w:t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By whom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Target date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Review date</w:t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Outcome at review date</w:t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4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cantSplit w:val="true"/>
        </w:trPr>
        <w:tc>
          <w:tcPr>
            <w:tcW w:w="81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72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</w:tc>
      </w:tr>
      <w:tr>
        <w:trPr>
          <w:trHeight w:val="606" w:hRule="atLeast"/>
          <w:cantSplit w:val="true"/>
        </w:trPr>
        <w:tc>
          <w:tcPr>
            <w:tcW w:w="7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1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Date:</w:t>
            </w:r>
          </w:p>
        </w:tc>
        <w:tc>
          <w:tcPr>
            <w:tcW w:w="54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Assessment Guidance </w:t>
      </w:r>
    </w:p>
    <w:tbl>
      <w:tblPr>
        <w:tblStyle w:val="TableGrid"/>
        <w:tblW w:w="1526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6"/>
        <w:gridCol w:w="3938"/>
        <w:gridCol w:w="3657"/>
        <w:gridCol w:w="5146"/>
      </w:tblGrid>
      <w:tr>
        <w:trPr>
          <w:trHeight w:val="558" w:hRule="atLeast"/>
        </w:trPr>
        <w:tc>
          <w:tcPr>
            <w:tcW w:w="25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313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Eliminate</w:t>
            </w:r>
          </w:p>
        </w:tc>
        <w:tc>
          <w:tcPr>
            <w:tcW w:w="3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this is not possible then explain why</w:t>
            </w:r>
          </w:p>
        </w:tc>
        <w:tc>
          <w:tcPr>
            <w:tcW w:w="5146" w:type="dxa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1" distT="0" distB="0" distL="114300" distR="114300" simplePos="0" locked="0" layoutInCell="1" allowOverlap="1" relativeHeight="2" wp14:anchorId="3C5F054F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9490" cy="1459865"/>
                  <wp:effectExtent l="0" t="0" r="24765" b="63500"/>
                  <wp:wrapTight wrapText="bothSides">
                    <wp:wrapPolygon edited="0">
                      <wp:start x="0" y="0"/>
                      <wp:lineTo x="0" y="888"/>
                      <wp:lineTo x="9987" y="22636"/>
                      <wp:lineTo x="11413" y="22636"/>
                      <wp:lineTo x="13125" y="21304"/>
                      <wp:lineTo x="15408" y="14203"/>
                      <wp:lineTo x="21686" y="888"/>
                      <wp:lineTo x="21686" y="0"/>
                      <wp:lineTo x="0" y="0"/>
                    </wp:wrapPolygon>
                  </wp:wrapTight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anchor>
              </w:drawing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Substitute</w:t>
            </w:r>
          </w:p>
        </w:tc>
        <w:tc>
          <w:tcPr>
            <w:tcW w:w="3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not possible then explain why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17" w:hRule="atLeast"/>
        </w:trPr>
        <w:tc>
          <w:tcPr>
            <w:tcW w:w="25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training, supervision, signage</w:t>
            </w:r>
          </w:p>
        </w:tc>
        <w:tc>
          <w:tcPr>
            <w:tcW w:w="36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93" w:hRule="atLeast"/>
        </w:trPr>
        <w:tc>
          <w:tcPr>
            <w:tcW w:w="25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Lucida Sans" w:hAnsi="Lucida Sans" w:eastAsia="Calibri" w:cs="Times New Roman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-68580</wp:posOffset>
                </wp:positionH>
                <wp:positionV relativeFrom="paragraph">
                  <wp:posOffset>405765</wp:posOffset>
                </wp:positionV>
                <wp:extent cx="2465070" cy="22161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560" cy="22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79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06"/>
                              <w:gridCol w:w="2"/>
                              <w:gridCol w:w="464"/>
                              <w:gridCol w:w="2"/>
                              <w:gridCol w:w="578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85"/>
                            </w:tblGrid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6" w:type="dxa"/>
                                  <w:vMerge w:val="restart"/>
                                  <w:tcBorders/>
                                  <w:shd w:color="auto" w:fill="FFFFFF" w:themeFill="background1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8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restart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continue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gridSpan w:val="9"/>
                                  <w:tcBorders/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5.4pt;margin-top:31.95pt;width:194pt;height:174.4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79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06"/>
                        <w:gridCol w:w="2"/>
                        <w:gridCol w:w="464"/>
                        <w:gridCol w:w="2"/>
                        <w:gridCol w:w="578"/>
                        <w:gridCol w:w="1"/>
                        <w:gridCol w:w="579"/>
                        <w:gridCol w:w="1"/>
                        <w:gridCol w:w="579"/>
                        <w:gridCol w:w="1"/>
                        <w:gridCol w:w="579"/>
                        <w:gridCol w:w="1"/>
                        <w:gridCol w:w="585"/>
                      </w:tblGrid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6" w:type="dxa"/>
                            <w:vMerge w:val="restart"/>
                            <w:tcBorders/>
                            <w:shd w:color="auto" w:fill="FFFFFF" w:themeFill="background1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8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974" w:type="dxa"/>
                            <w:gridSpan w:val="4"/>
                            <w:vMerge w:val="restart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974" w:type="dxa"/>
                            <w:gridSpan w:val="4"/>
                            <w:vMerge w:val="continue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2904" w:type="dxa"/>
                            <w:gridSpan w:val="9"/>
                            <w:tcBorders/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eastAsia="en-GB"/>
        </w:rPr>
        <w:t xml:space="preserve"> </w:t>
      </w:r>
    </w:p>
    <w:p>
      <w:pPr>
        <w:pStyle w:val="Normal"/>
        <w:rPr>
          <w:rFonts w:ascii="Lucida Sans" w:hAnsi="Lucida Sans" w:eastAsia="Calibri" w:cs="Times New Roman"/>
          <w:b/>
          <w:b/>
          <w:bCs/>
          <w:szCs w:val="18"/>
        </w:rPr>
      </w:pPr>
      <w:r>
        <w:rPr>
          <w:rFonts w:eastAsia="Calibri" w:cs="Times New Roman" w:ascii="Lucida Sans" w:hAnsi="Lucida Sans"/>
          <w:b/>
          <w:bCs/>
          <w:szCs w:val="18"/>
        </w:rPr>
        <mc:AlternateContent>
          <mc:Choice Requires="wps">
            <w:drawing>
              <wp:anchor behindDoc="0" distT="45720" distB="45720" distL="114300" distR="112395" simplePos="0" locked="0" layoutInCell="1" allowOverlap="1" relativeHeight="3" wp14:anchorId="3C5F0551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7265" cy="3317240"/>
                <wp:effectExtent l="0" t="0" r="9525" b="0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480" cy="331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ind w:left="284" w:hanging="284"/>
                              <w:contextualSpacing/>
                              <w:rPr/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19pt;margin-top:13.55pt;width:276.85pt;height:261.1pt;mso-position-horizontal-relative:margin" wp14:anchorId="3C5F055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Risk process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red 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ind w:left="284" w:hanging="284"/>
                        <w:contextualSpacing/>
                        <w:rPr/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45460" cy="2340610"/>
                <wp:effectExtent l="0" t="0" r="0" b="0"/>
                <wp:wrapSquare wrapText="bothSides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80" cy="23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79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46"/>
                              <w:gridCol w:w="1278"/>
                              <w:gridCol w:w="3069"/>
                            </w:tblGrid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724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Health &amp; Safety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Trivial - insignificant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Very minor injuries e.g. slight bruising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Minor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Injuries or illness e.g. small cut or abrasion which require basic first aid treatment even in self-administered.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Injuries or illness e.g. strain or sprain requiring first aid or medical support.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Major 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Injuries or illness e.g. broken bone requiring medical support &gt;24 hours and time off work &gt;4 weeks.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>Severe – extremely 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00000A"/>
                                      <w:sz w:val="16"/>
                                      <w:szCs w:val="16"/>
                                    </w:rPr>
                                    <w:t xml:space="preserve">Fatality or multiple serious injuries or illness requiring hospital admission or significant time off work.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521.1pt;margin-top:10.55pt;width:239.7pt;height:184.2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793" w:type="dxa"/>
                        <w:jc w:val="right"/>
                        <w:tblInd w:w="0" w:type="dxa"/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46"/>
                        <w:gridCol w:w="1278"/>
                        <w:gridCol w:w="3069"/>
                      </w:tblGrid>
                      <w:tr>
                        <w:trPr>
                          <w:trHeight w:val="291" w:hRule="atLeast"/>
                        </w:trPr>
                        <w:tc>
                          <w:tcPr>
                            <w:tcW w:w="1724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color="auto" w:fill="D9D9D9" w:themeFill="background1" w:themeFillShade="d9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Health &amp; Safety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Trivial - insignificant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Very minor injuries e.g. slight bruising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Minor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Injuries or illness e.g. small cut or abrasion which require basic first aid treatment even in self-administered.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Injuries or illness e.g. strain or sprain requiring first aid or medical support.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Major 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Injuries or illness e.g. broken bone requiring medical support &gt;24 hours and time off work &gt;4 weeks.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Severe – extremely 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Fatality or multiple serious injuries or illness requiring hospital admission or significant time off work. 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6624320</wp:posOffset>
                </wp:positionH>
                <wp:positionV relativeFrom="paragraph">
                  <wp:posOffset>-58420</wp:posOffset>
                </wp:positionV>
                <wp:extent cx="3060700" cy="1195070"/>
                <wp:effectExtent l="0" t="0" r="0" b="0"/>
                <wp:wrapSquare wrapText="bothSides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1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817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005"/>
                              <w:gridCol w:w="3811"/>
                            </w:tblGrid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4816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Rare</w:t>
                                  </w: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 xml:space="preserve"> e.g. 1 in 100,000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Unlikely e.g. 1 in 10,000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Possible e.g. 1 in 1,000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Likely e.g. 1 in 100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3526_1532815701"/>
                                  <w:bookmarkStart w:id="3" w:name="__UnoMark__3525_1532815701"/>
                                  <w:bookmarkEnd w:id="2"/>
                                  <w:bookmarkEnd w:id="3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3527_1532815701"/>
                                  <w:bookmarkEnd w:id="4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Very Likely e.g. 1 in 10 chance or higher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521.6pt;margin-top:-4.6pt;width:240.9pt;height:94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817" w:type="dxa"/>
                        <w:jc w:val="right"/>
                        <w:tblInd w:w="0" w:type="dxa"/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005"/>
                        <w:gridCol w:w="3811"/>
                      </w:tblGrid>
                      <w:tr>
                        <w:trPr>
                          <w:trHeight w:val="481" w:hRule="atLeast"/>
                        </w:trPr>
                        <w:tc>
                          <w:tcPr>
                            <w:tcW w:w="4816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Rare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e.g. 1 in 100,000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Unlikely e.g. 1 in 10,000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Possible e.g. 1 in 1,000 chance or higher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Likely e.g. 1 in 100 chance or higher</w:t>
                            </w:r>
                          </w:p>
                        </w:tc>
                      </w:tr>
                      <w:tr>
                        <w:trPr>
                          <w:trHeight w:val="75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" w:name="__UnoMark__3526_1532815701"/>
                            <w:bookmarkStart w:id="6" w:name="__UnoMark__3525_1532815701"/>
                            <w:bookmarkEnd w:id="5"/>
                            <w:bookmarkEnd w:id="6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" w:name="__UnoMark__3527_1532815701"/>
                            <w:bookmarkEnd w:id="7"/>
                            <w:r>
                              <w:rPr>
                                <w:sz w:val="16"/>
                                <w:szCs w:val="16"/>
                              </w:rPr>
                              <w:t>Very Likely e.g. 1 in 10 chance or higher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7"/>
      <w:footerReference w:type="default" r:id="rId8"/>
      <w:type w:val="nextPage"/>
      <w:pgSz w:orient="landscape" w:w="16838" w:h="11906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3486385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rFonts w:ascii="Georgia" w:hAnsi="Georgia"/>
        <w:color w:val="1F497D" w:themeColor="text2"/>
        <w:sz w:val="32"/>
      </w:rPr>
    </w:pPr>
    <w:r>
      <w:rPr>
        <w:rFonts w:ascii="Georgia" w:hAnsi="Georgia"/>
        <w:color w:val="1F497D" w:themeColor="text2"/>
        <w:sz w:val="32"/>
      </w:rPr>
      <w:t>University of Southampton Health &amp; Safety Risk Assessment</w:t>
    </w:r>
  </w:p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Version: 2.3/2017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377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04a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47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7b4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f80957"/>
    <w:rPr>
      <w:rFonts w:ascii="Calibri" w:hAnsi="Calibri" w:eastAsia="宋体" w:eastAsiaTheme="minorEastAsia"/>
      <w:szCs w:val="21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5c8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2f5c8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f5c84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04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f80957"/>
    <w:pPr>
      <w:spacing w:lineRule="auto" w:line="240" w:before="0" w:after="0"/>
    </w:pPr>
    <w:rPr>
      <w:rFonts w:ascii="Calibri" w:hAnsi="Calibri" w:eastAsia="宋体" w:eastAsiaTheme="minorEastAsia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2f5c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f5c84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736c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04225F8D8614FA0BDD83EBBA0E8E7" ma:contentTypeVersion="0" ma:contentTypeDescription="Create a new document." ma:contentTypeScope="" ma:versionID="e099c1f381cced55c926f6f79f66c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0937-A1E0-4E9D-B1DC-BE89BFD3A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65B1E-F08C-4C23-9494-AA84C71226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7CBB70-2D16-4B23-9696-7338A2FE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6</Pages>
  <Words>826</Words>
  <Characters>4113</Characters>
  <CharactersWithSpaces>4750</CharactersWithSpaces>
  <Paragraphs>200</Paragraphs>
  <Company>University of Southampton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2017-10-13T08:14:00Z</dcterms:created>
  <dc:creator>Mccargow A.</dc:creator>
  <dc:description/>
  <dc:language>en-GB</dc:language>
  <cp:lastModifiedBy/>
  <cp:lastPrinted>2016-04-18T12:10:00Z</cp:lastPrinted>
  <dcterms:modified xsi:type="dcterms:W3CDTF">2018-03-27T09:40:44Z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Southampton</vt:lpwstr>
  </property>
  <property fmtid="{D5CDD505-2E9C-101B-9397-08002B2CF9AE}" pid="4" name="ContentTypeId">
    <vt:lpwstr>0x01010018D04225F8D8614FA0BDD83EBBA0E8E7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NewReviewCycle">
    <vt:lpwstr/>
  </property>
</Properties>
</file>