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Załącznik: zakres i harmonogram</w:t>
      </w:r>
    </w:p>
    <w:p>
      <w:r>
        <w:t>Projekt do uzgodnienia • wersja 1.2</w:t>
      </w:r>
    </w:p>
    <w:p>
      <w:r>
        <w:t>Wzory B2B do uzupełnienia i dostosowania przed podpisaniem. Potwierdź model współpracy z Kozbud, dane stron, ceny i limity. Dokumenty nie zostały zweryfikowane dla konkretnej transakcji przez prawnika.</w:t>
      </w:r>
    </w:p>
    <w:p>
      <w:pPr>
        <w:pStyle w:val="Heading1"/>
      </w:pPr>
      <w:r>
        <w:t>Identyfikacja</w:t>
      </w:r>
    </w:p>
    <w:p>
      <w:r>
        <w:t>Załącznik do umowy / oferty [Numer projektu / umowy]. Projekt: [Nazwa projektu]. Wykonawca: [Pełna nazwa prawna wykonawcy]. Zamawiający: [Pełna nazwa zamawiającego]. Data wersji: [Data dokumentu].</w:t>
      </w:r>
    </w:p>
    <w:p>
      <w:pPr>
        <w:pStyle w:val="Heading1"/>
      </w:pPr>
      <w:r>
        <w:t>Cel i zakres</w:t>
      </w:r>
    </w:p>
    <w:p>
      <w:r>
        <w:t>Cel: [Problem i cel biznesowy]. Funkcje i przebieg działania: [Zakres rozwiązania]. Sposób oceny efektu: [Sposób oceny efektu].</w:t>
      </w:r>
    </w:p>
    <w:p>
      <w:pPr>
        <w:pStyle w:val="Heading1"/>
      </w:pPr>
      <w:r>
        <w:t>Rezultaty i integracje</w:t>
      </w:r>
    </w:p>
    <w:p>
      <w:r>
        <w:t>Przekazywane rezultaty: [Lista rezultatów i plików]. Integracje, kierunki danych i zakres uprawnień: [Integracje i ich zakres]. Repozytoria / wersje / formaty plików: [Repozytoria, wersje i miejsca przechowywania]. Usługi zewnętrzne, licencje i ich płatnik: [Zewnętrzne usługi, licencje i ich płatnik].</w:t>
      </w:r>
    </w:p>
    <w:p>
      <w:pPr>
        <w:pStyle w:val="Heading1"/>
      </w:pPr>
      <w:r>
        <w:t>Poza zakresem</w:t>
      </w:r>
    </w:p>
    <w:p>
      <w:r>
        <w:t>Nieobjęte ceną i wymagające osobnego uzgodnienia: [Elementy poza zakresem]. Nowe scenariusze, integracje i funkcje są zmianą zakresu, jeżeli nie zostały tu opisane.</w:t>
      </w:r>
    </w:p>
    <w:p>
      <w:pPr>
        <w:pStyle w:val="Heading1"/>
      </w:pPr>
      <w:r>
        <w:t>Materiały i terminy</w:t>
      </w:r>
    </w:p>
    <w:p>
      <w:r>
        <w:t>Zamawiający zapewnia [Materiały, dane i dostępy od klienta] do [Termin dostarczenia materiałów]. Etapy, osoby odpowiedzialne i terminy: [Etapy, terminy i zależności]. Warunki uruchomienia: [Data / warunki uruchomienia].</w:t>
      </w:r>
    </w:p>
    <w:p>
      <w:pPr>
        <w:pStyle w:val="Heading1"/>
      </w:pPr>
      <w:r>
        <w:t>Odbiór</w:t>
      </w:r>
    </w:p>
    <w:p>
      <w:r>
        <w:t>Scenariusze testowe, dane testowe oraz mierzalne kryteria: [Scenariusze i kryteria odbioru]. Czas testów: [Liczba dni roboczych na testy odbiorowe] dni roboczych. Termin poprawek: [Termin uzgodnionych poprawek]. Odbiór potwierdza się protokołem lub wyraźnym uzgodnieniem.</w:t>
      </w:r>
    </w:p>
    <w:p>
      <w:pPr>
        <w:pStyle w:val="Heading1"/>
      </w:pPr>
      <w:r>
        <w:t>Dane i sytuacje awaryjne</w:t>
      </w:r>
    </w:p>
    <w:p>
      <w:r>
        <w:t>Rodzaje danych: [Rodzaje danych osobowych]. Dostępy i zabezpieczenia: [Konkretne środki ochrony danych]. Ograniczenia, eskalacja do człowieka i scenariusze awaryjne: [Ograniczenia, sytuacje awaryjne i eskalacja]. Dane produkcyjne stosuje się w testach tylko przy odpowiednich ustaleniach.</w:t>
      </w:r>
    </w:p>
    <w:p>
      <w:pPr>
        <w:pStyle w:val="Heading1"/>
      </w:pPr>
      <w:r>
        <w:t>Zatwierdzenie</w:t>
      </w:r>
    </w:p>
    <w:p>
      <w:r>
        <w:t>Kanały akceptacji i osoby uprawnione: [Kanały i osoby do uzgodnień]. Wykonawca: ____________________     Zamawiający: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Załącznik: zakres i harmonogram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