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Informacja dla rozmówców bota AI</w:t>
      </w:r>
    </w:p>
    <w:p>
      <w:r>
        <w:t>Projekt do uzgodnienia • wersja 1.1</w:t>
      </w:r>
    </w:p>
    <w:p>
      <w:r>
        <w:t>Wzór dla administratora danych rozmówców, a nie automatycznie dla DAWKOZ. Wymaga dopasowania do działania systemu, zwłaszcza nagrywania, podstaw prawnych i faktycznych odbiorców.</w:t>
      </w:r>
    </w:p>
    <w:p>
      <w:pPr>
        <w:pStyle w:val="Heading1"/>
      </w:pPr>
      <w:r>
        <w:t>Dane administratora</w:t>
      </w:r>
    </w:p>
    <w:p>
      <w:r>
        <w:t>Administrator: [Pełna nazwa zamawiającego], [Adres zamawiającego], kontakt [E-mail zamawiającego]. Kontakt dotyczący danych / inspektor, jeśli wyznaczony: [Kontakt w sprawach danych / inspektor, jeśli wyznaczony]. System: [Nazwa projektu]. Data wersji [Data dokumentu].</w:t>
      </w:r>
    </w:p>
    <w:p>
      <w:pPr>
        <w:pStyle w:val="Heading1"/>
      </w:pPr>
      <w:r>
        <w:t>Przykładowy początek rozmowy</w:t>
      </w:r>
    </w:p>
    <w:p>
      <w:r>
        <w:t>Dzień dobry. Rozmawiasz z automatycznym asystentem AI firmy [Pełna nazwa zamawiającego]. Pomagam w: [Cel, charakter i zakres przetwarzania]. Kontakt z człowiekiem: [Możliwość kontaktu z człowiekiem]. Informacje o danych są dostępne pod adresem [Adres pełnej informacji o danych].</w:t>
      </w:r>
    </w:p>
    <w:p>
      <w:pPr>
        <w:pStyle w:val="Heading1"/>
      </w:pPr>
      <w:r>
        <w:t>Nagrywanie i transkrypcja</w:t>
      </w:r>
    </w:p>
    <w:p>
      <w:r>
        <w:t>Ustalony wariant: [Czy rozmowy są nagrywane / transkrybowane?]. Faktyczny cel, podstawa, zakres i sposób informowania przed zapisem: [Cel, podstawa i zasady nagrywania / transkrypcji]. Komunikat o nagrywaniu lub zapisie transkrypcji trzeba dostosować do tego wariantu i przekazać przed rozpoczęciem objętego nim przetwarzania. Sama informacja o AI nie zastępuje informacji o nagrywaniu.</w:t>
      </w:r>
    </w:p>
    <w:p>
      <w:pPr>
        <w:pStyle w:val="Heading1"/>
      </w:pPr>
      <w:r>
        <w:t>Cel, zakres i podstawa prawna</w:t>
      </w:r>
    </w:p>
    <w:p>
      <w:r>
        <w:t>Cel i charakter: [Cel, charakter i zakres przetwarzania]. Dane: [Rodzaje danych osobowych]. Kategorie osób: [Kategorie osób]. Podstawa prawna i uzasadnienie: [Podstawa prawna przetwarzania i uzasadnienie]. Nie zakłada się automatycznie zgody jako podstawy; administrator dobiera ją do faktycznego celu.</w:t>
      </w:r>
    </w:p>
    <w:p>
      <w:pPr>
        <w:pStyle w:val="Heading1"/>
      </w:pPr>
      <w:r>
        <w:t>Odbiorcy, transfery i retencja</w:t>
      </w:r>
    </w:p>
    <w:p>
      <w:r>
        <w:t>Rzeczywiści dostawcy i ich role: [Podwykonawcy: nazwa, zadanie, kraj i zakres dostępu]. Lokalizacje: [Lokalizacje i regiony przetwarzania]. Ewentualne transfery poza EOG i zabezpieczenia: [Transfery poza EOG i zastosowane mechanizmy]. Okresy przechowywania: [Okresy przechowywania danych i nagrań].</w:t>
      </w:r>
    </w:p>
    <w:p>
      <w:pPr>
        <w:pStyle w:val="Heading1"/>
      </w:pPr>
      <w:r>
        <w:t>Prawa i kontakt</w:t>
      </w:r>
    </w:p>
    <w:p>
      <w:r>
        <w:t>Na zasadach właściwych przepisów przysługują prawa dostępu, sprostowania, usunięcia, ograniczenia, a w odpowiednich przypadkach przenoszenia i sprzeciwu. Gdy podstawą jest zgoda, można ją wycofać bez wpływu na wcześniejszą legalność. Można złożyć skargę do Prezesa UODO. Żądania: [Kontakt w sprawach danych / inspektor, jeśli wyznaczony].</w:t>
      </w:r>
    </w:p>
    <w:p>
      <w:r>
        <w:t>Pełna informacja powinna także określać, czy podanie danych jest wymagane i skutki odmowy oraz czy występuje zautomatyzowane podejmowanie decyzji o istotnych skutkach, wraz z wymaganym wyjaśnieniem. Faktyczny proces i eskalacja: [Ograniczenia, sytuacje awaryjne i eskalacja]. Pełna informacja: [Adres pełnej informacji o danych].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Informacja dla rozmówców bota AI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