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Umowa utrzymania i opieki</w:t>
      </w:r>
    </w:p>
    <w:p>
      <w:r>
        <w:t>Projekt do uzgodnienia • wersja 1.0</w:t>
      </w:r>
    </w:p>
    <w:p>
      <w:r>
        <w:t>Wzór dla relacji między przedsiębiorcami. Przed podpisaniem potwierdź rzeczywistego wykonawcę i jego reprezentację. Jeżeli klientowi przysługują uprawnienia konsumenckie, dokument wymaga odpowiedniego dostosowania. Wybór modelu Kozbud i rozliczenie pracy Dawida pozostają odrębnymi ustaleniami. Uzupełnij wszystkie limity, czasy reakcji i zasady przekroczeń; sama kwota 899 zł nie określa tych parametrów.</w:t>
      </w:r>
    </w:p>
    <w:p>
      <w:pPr>
        <w:pStyle w:val="Heading1"/>
      </w:pPr>
      <w:r>
        <w:t>§ 1. Strony i system</w:t>
      </w:r>
    </w:p>
    <w:p>
      <w:r>
        <w:t>Zawarto w [Miejscowość podpisania] dnia [Data dokumentu] pomiędzy: [Pełna nazwa prawna wykonawcy], adres: [Adres wykonawcy], NIP: 6272742701, reprezentacja: [Osoba reprezentująca wykonawcę i podstawa umocowania], e-mail: kontakt@dawkoz.com, dalej „Wykonawca”, a [Pełna nazwa zamawiającego], adres: [Adres zamawiającego], NIP: [NIP zamawiającego], reprezentacja: [Reprezentant zamawiającego], e-mail: [E-mail zamawiającego], dalej „Zamawiający”.</w:t>
      </w:r>
    </w:p>
    <w:p>
      <w:r>
        <w:t>Umowa / system [Numer projektu / umowy]: [Nazwa projektu]. Rozpoczęcie opieki: [Początek naliczania abonamentu]. Koordynator techniczny: Dawid Kozula. Osoby i kanały uzgodnień: [Kanały i osoby do uzgodnień]. Koordynacja techniczna nie oznacza sama w sobie prawa do zaciągania zobowiązań w imieniu strony.</w:t>
      </w:r>
    </w:p>
    <w:p>
      <w:pPr>
        <w:pStyle w:val="Heading1"/>
      </w:pPr>
      <w:r>
        <w:t>§ 2. Zakres abonamentu</w:t>
      </w:r>
    </w:p>
    <w:p>
      <w:r>
        <w:t>Abonament obejmuje korzystanie z systemu, utrzymanie oraz opiekę techniczną w zakresie: [Zakres utrzymania i opieki]. Limit drobnych zmian w miesiącu: [Limit drobnych zmian w miesiącu]. Nowe funkcje, rozbudowy i integracje poza tym zakresem wycenia się i zatwierdza odrębnie.</w:t>
      </w:r>
    </w:p>
    <w:p>
      <w:pPr>
        <w:pStyle w:val="Heading1"/>
      </w:pPr>
      <w:r>
        <w:t>§ 3. Cena i płatność</w:t>
      </w:r>
    </w:p>
    <w:p>
      <w:r>
        <w:t>Miesięczna opłata wynosi 899,00 zł, ceny [Sposób podania cen]. Status VAT i fakturowanie: [Status VAT i sposób fakturowania]. Termin zapłaty faktury: [Termin zapłaty faktury (dni)] dni. Rachunek płatności: [Rachunek płatności]. Pierwszy i ostatni okres oraz początek naliczania: [Początek naliczania abonamentu]. Jednorazowe wdrożenie nie jest objęte abonamentem.</w:t>
      </w:r>
    </w:p>
    <w:p>
      <w:pPr>
        <w:pStyle w:val="Heading1"/>
      </w:pPr>
      <w:r>
        <w:t>§ 4. Pakiet rozmów, AI i SMS</w:t>
      </w:r>
    </w:p>
    <w:p>
      <w:r>
        <w:t>W abonamencie zawarto [Miesięczny limit minut rozmów] minut rozmów oraz [Limit rozliczeniowych części SMS] rozliczeniowych części SMS na miesiąc rozliczeniowy. Koszty AI i telefonii dla uzgodnionego scenariusza mieszczą się w tym pakiecie. Szczegóły scenariusza i integracji: [Zakres rozwiązania]; [Integracje i ich zakres].</w:t>
      </w:r>
    </w:p>
    <w:p>
      <w:r>
        <w:t>Wiadomości długie lub zawierające określone znaki mogą składać się z kilku płatnych części. Pomiar zużycia opiera się na zestawieniach systemu i dostawców, z możliwością wyjaśnienia rozbieżności. Zasady przenoszenia niewykorzystanego pakietu i działania po jego wyczerpaniu: [Działanie po wyczerpaniu pakietu].</w:t>
      </w:r>
    </w:p>
    <w:p>
      <w:pPr>
        <w:pStyle w:val="Heading1"/>
      </w:pPr>
      <w:r>
        <w:t>§ 5. Powiadomienia i dodatkowe koszty</w:t>
      </w:r>
    </w:p>
    <w:p>
      <w:r>
        <w:t>Powiadomienie o zbliżaniu się do limitu następuje przy: [Próg powiadomienia o zużyciu]. Stawki dodatkowego zużycia: minuta [Stawka za minutę ponad pakiet], część SMS [Stawka za część SMS ponad pakiet]. Dodatkowe obciążenia wymagają uzgodnionego upoważnienia i mieszczą się w zatwierdzonym budżecie: [Zatwierdzony budżet dodatkowego zużycia].</w:t>
      </w:r>
    </w:p>
    <w:p>
      <w:r>
        <w:t>Pozostałe usługi zewnętrzne i ich płatnik: [Zewnętrzne usługi, licencje i ich płatnik]. Zmiany ceny, limitów i zakresu wymagają uzgodnienia stron; nie wprowadza się nieuzgodnionych dopłat pod nazwą opieki lub zużycia.</w:t>
      </w:r>
    </w:p>
    <w:p>
      <w:pPr>
        <w:pStyle w:val="Heading1"/>
      </w:pPr>
      <w:r>
        <w:t>§ 6. Wsparcie i awarie</w:t>
      </w:r>
    </w:p>
    <w:p>
      <w:r>
        <w:t>Zgłoszenia: kontakt@dawkoz.com. Dni i godziny obsługi: [Godziny i dni wsparcia]. Kategorie i czasy reakcji: [Czasy reakcji według kategorii zgłoszeń]. Czas reakcji oznacza rozpoczęcie obsługi zgłoszenia; termin przywrócenia działania zależy od przyczyny i jest ustalany oraz komunikowany osobno.</w:t>
      </w:r>
    </w:p>
    <w:p>
      <w:r>
        <w:t>Planowane prace i powiadomienia: [Okna i zasady planowanych prac]. Scenariusze awaryjne i przekierowania: [Ograniczenia, sytuacje awaryjne i eskalacja]. Wyższa dostępność lub obsługa całodobowa wymaga wyraźnego uzgodnienia. Kopie zapasowe, retencja i testy odtworzenia: [Kopie zapasowe, retencja i wynik testu odtworzenia].</w:t>
      </w:r>
    </w:p>
    <w:p>
      <w:pPr>
        <w:pStyle w:val="Heading1"/>
      </w:pPr>
      <w:r>
        <w:t>§ 7. Dostępy i dane</w:t>
      </w:r>
    </w:p>
    <w:p>
      <w:r>
        <w:t>Wykaz kont i uprawnień: [Wykaz kont, właścicieli i uprawnień — bez haseł]. Role w przetwarzaniu danych oraz niezbędne umowy i upoważnienia ustala się przed dostępem do danych. Zmiana dostawcy lub regionu wymagająca akceptacji nie następuje bez odpowiedniej procedury. Dane nie są wykorzystywane do innych celów bez właściwej podstawy.</w:t>
      </w:r>
    </w:p>
    <w:p>
      <w:pPr>
        <w:pStyle w:val="Heading1"/>
      </w:pPr>
      <w:r>
        <w:t>§ 8. Zakończenie i odpowiedzialność</w:t>
      </w:r>
    </w:p>
    <w:p>
      <w:r>
        <w:t>Okres i zasady wypowiedzenia: [Okres i zasady wypowiedzenia]. Zwrot lub usunięcie danych i kopii: [Zwrot / usunięcie danych i kopii po zakończeniu]. Przekazanie kont i dokumentacji: [Przekazane pliki, instrukcje i uprawnienia]. Strony rozliczają należne opłaty oraz zatwierdzone koszty do dnia zakończenia. Odpowiedzialność wynika z umowy i właściwych przepisów; nie wyłącza się przypadków, których ograniczyć nie można.</w:t>
      </w:r>
    </w:p>
    <w:p>
      <w:pPr>
        <w:pStyle w:val="Heading1"/>
      </w:pPr>
      <w:r>
        <w:t>Podpisy</w:t>
      </w:r>
    </w:p>
    <w:p>
      <w:r>
        <w:t>Wykonawca: ____________________     Zamawiający: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WZÓR B2B • PROJEKT DO UZGODNIENIA • WERSJA 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DAWKOZ / DOKUMENTY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73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273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utrzymania i opieki</dc:title>
  <dc:subject/>
  <dc:creator>DAWKOZ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