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Umowa wdrożeniowa B2B</w:t>
      </w:r>
    </w:p>
    <w:p>
      <w:r>
        <w:t>Projekt do uzgodnienia • wersja 1.0</w:t>
      </w:r>
    </w:p>
    <w:p>
      <w:r>
        <w:t>Wzór dla relacji między przedsiębiorcami. Przed podpisaniem potwierdź rzeczywistego wykonawcę i jego reprezentację. Jeżeli klientowi przysługują uprawnienia konsumenckie, dokument wymaga odpowiedniego dostosowania. Wybór modelu Kozbud i rozliczenie pracy Dawida pozostają odrębnymi ustaleniami. Wariant podstawowy przewiduje licencję niewyłączną. Do przeniesienia praw użyj osobnego wzoru i zapewnij łańcuch praw od autorów.</w:t>
      </w:r>
    </w:p>
    <w:p>
      <w:pPr>
        <w:pStyle w:val="Heading1"/>
      </w:pPr>
      <w:r>
        <w:t>§ 1. Strony i projekt</w:t>
      </w:r>
    </w:p>
    <w:p>
      <w:r>
        <w:t>Zawarto w [Miejscowość podpisania] dnia [Data dokumentu] pomiędzy: [Pełna nazwa prawna wykonawcy], adres: [Adres wykonawcy], NIP: 6272742701, reprezentacja: [Osoba reprezentująca wykonawcę i podstawa umocowania], e-mail: kontakt@dawkoz.com, dalej „Wykonawca”, a [Pełna nazwa zamawiającego], adres: [Adres zamawiającego], NIP: [NIP zamawiającego], reprezentacja: [Reprezentant zamawiającego], e-mail: [E-mail zamawiającego], dalej „Zamawiający”.</w:t>
      </w:r>
    </w:p>
    <w:p>
      <w:r>
        <w:t>Numer umowy: [Numer projektu / umowy]. Projekt: [Nazwa projektu]. Koordynator techniczny: Dawid Kozula. Osoby i kanały uzgodnień: [Kanały i osoby do uzgodnień]. Koordynacja techniczna nie oznacza sama w sobie prawa do zaciągania zobowiązań w imieniu strony.</w:t>
      </w:r>
    </w:p>
    <w:p>
      <w:pPr>
        <w:pStyle w:val="Heading1"/>
      </w:pPr>
      <w:r>
        <w:t>§ 2. Przedmiot i dokumentacja</w:t>
      </w:r>
    </w:p>
    <w:p>
      <w:r>
        <w:t>Wykonawca zobowiązuje się wykonać rozwiązanie opisane w załączniku zakresu, a Zamawiający współdziałać i zapłacić wynagrodzenie. Zakres: [Zakres rozwiązania]. Rezultaty: [Lista rezultatów i plików]. Integracje: [Integracje i ich zakres]. Poza zakresem: [Elementy poza zakresem].</w:t>
      </w:r>
    </w:p>
    <w:p>
      <w:r>
        <w:t>Załącznik zakresu, harmonogram oraz kryteria odbioru są integralną częścią umowy. Uzgodnione zmiany powinny wskazywać zmieniony punkt oraz wpływ na cenę i termin. W razie rozbieżności strony wyjaśniają ją przed wykonaniem spornych prac.</w:t>
      </w:r>
    </w:p>
    <w:p>
      <w:pPr>
        <w:pStyle w:val="Heading1"/>
      </w:pPr>
      <w:r>
        <w:t>§ 3. Terminy i współdziałanie</w:t>
      </w:r>
    </w:p>
    <w:p>
      <w:r>
        <w:t>Harmonogram: [Etapy, terminy i zależności]. Zamawiający dostarcza [Materiały, dane i dostępy od klienta] do [Termin dostarczenia materiałów] oraz zapewnia legalne uprawnienia do przekazanych materiałów i danych. Wykonawca zgłasza braki i przeszkody bez zbędnej zwłoki.</w:t>
      </w:r>
    </w:p>
    <w:p>
      <w:r>
        <w:t>Wpływ opóźnień, braków materiałów lub zmian na harmonogram strony uzgadniają i dokumentują. Nie uprawnia to do nieuzgodnionego zwiększenia ceny. Warunki uruchomienia produkcyjnego: [Data / warunki uruchomienia].</w:t>
      </w:r>
    </w:p>
    <w:p>
      <w:pPr>
        <w:pStyle w:val="Heading1"/>
      </w:pPr>
      <w:r>
        <w:t>§ 4. Wynagrodzenie</w:t>
      </w:r>
    </w:p>
    <w:p>
      <w:r>
        <w:t>Wynagrodzenie: [Cena wdrożenia (kwota i waluta)], ceny [Sposób podania cen]. Status VAT i fakturowanie: [Status VAT i sposób fakturowania]. Zaliczka: [Kwota zaliczki i termin]. Płatności etapowe: [Płatności etapowe i warunki]. Termin zapłaty: [Termin zapłaty faktury (dni)] dni od prawidłowego udostępnienia faktury, na rachunek [Rachunek płatności].</w:t>
      </w:r>
    </w:p>
    <w:p>
      <w:r>
        <w:t>Usługi zewnętrzne, licencje i ich płatnik: [Zewnętrzne usługi, licencje i ich płatnik]. Prace poza zakresem wymagają uprzedniego uzgodnienia zakresu, ceny i terminu. Miesięczna opieka wymaga osobnego ustalenia zgodnie z umową utrzymania.</w:t>
      </w:r>
    </w:p>
    <w:p>
      <w:pPr>
        <w:pStyle w:val="Heading1"/>
      </w:pPr>
      <w:r>
        <w:t>§ 5. Testy i odbiór</w:t>
      </w:r>
    </w:p>
    <w:p>
      <w:r>
        <w:t>Scenariusze i kryteria odbioru: [Scenariusze i kryteria odbioru]. Po przekazaniu do testów Zamawiający ma [Liczba dni roboczych na testy odbiorowe] dni roboczych na ich sprawdzenie i przekazanie wyników. Uwagi powinny wskazywać konkretną niezgodność z uzgodnionym zakresem.</w:t>
      </w:r>
    </w:p>
    <w:p>
      <w:r>
        <w:t>Termin uzgodnionych poprawek: [Termin uzgodnionych poprawek]. Po poprawkach strony potwierdzają wynik testów i podpisują protokół lub składają inne wyraźne potwierdzenie odbioru w uzgodnionym kanale. Sam brak odpowiedzi nie jest odbiorem. Prace dodatkowe odróżnia się od usuwania niezgodności.</w:t>
      </w:r>
    </w:p>
    <w:p>
      <w:pPr>
        <w:pStyle w:val="Heading1"/>
      </w:pPr>
      <w:r>
        <w:t>§ 6. Prawa do rezultatów</w:t>
      </w:r>
    </w:p>
    <w:p>
      <w:r>
        <w:t>Po zapłacie wynagrodzenia Wykonawca udziela Zamawiającemu niewyłącznej licencji do rezultatów, do których posiada uprawnienia, bez ograniczeń terytorialnych i na czas nieoznaczony: do utrwalania i zwielokrotniania w pamięci urządzeń, uruchamiania, wyświetlania, udostępniania przez sieć oraz modyfikacji na potrzeby działalności Zamawiającego. Zamawiający może zlecić obsługę i modyfikacje swoim wykonawcom w tym celu, z zachowaniem poufności.</w:t>
      </w:r>
    </w:p>
    <w:p>
      <w:r>
        <w:t>Wykonawca przekazuje rezultaty i pliki zgodnie z załącznikiem; wcześniejsze komponenty i usługi osób trzecich podlegają wskazanym licencjom. Umowa nie przenosi automatycznie autorskich praw majątkowych. Jeżeli strony chcą przeniesienia, zawierają osobny dokument obejmujący konkretne utwory, pola eksploatacji, wynagrodzenie i wymaganą formę.</w:t>
      </w:r>
    </w:p>
    <w:p>
      <w:pPr>
        <w:pStyle w:val="Heading1"/>
      </w:pPr>
      <w:r>
        <w:t>§ 7. Dane, bezpieczeństwo i poufność</w:t>
      </w:r>
    </w:p>
    <w:p>
      <w:r>
        <w:t>Strony ograniczają dostęp do informacji do osób potrzebnych przy realizacji. Informacje niepubliczne wykorzystują wyłącznie do umowy i zabezpieczają przed nieuprawnionym ujawnieniem. Obowiązek nie obejmuje informacji publicznych zgodnie z prawem, pozyskanych legalnie z innego źródła lub niezależnie opracowanych.</w:t>
      </w:r>
    </w:p>
    <w:p>
      <w:r>
        <w:t>Przed dostępem do danych osobowych strony ustalają role, instrukcje i środki bezpieczeństwa oraz zawierają wymaganą umowę powierzenia. Nagrywanie, transkrypcja i użycie AI wymagają ustalenia rzeczywistych funkcji i informacji dla rozmówców. Haseł i kluczy nie wpisuje się do umowy ani protokołu.</w:t>
      </w:r>
    </w:p>
    <w:p>
      <w:pPr>
        <w:pStyle w:val="Heading1"/>
      </w:pPr>
      <w:r>
        <w:t>§ 8. Odpowiedzialność i zakończenie</w:t>
      </w:r>
    </w:p>
    <w:p>
      <w:r>
        <w:t>Strony odpowiadają za niewykonanie lub nienależyte wykonanie zobowiązań na zasadach właściwych przepisów. Nie wyłącza się odpowiedzialności, której ograniczyć nie można. Wykonawca powinien sygnalizować ryzyka usług zewnętrznych i ograniczenia AI; korzystanie z tych narzędzi nie znosi automatycznie jego obowiązków umownych.</w:t>
      </w:r>
    </w:p>
    <w:p>
      <w:r>
        <w:t>Zasady i okres wypowiedzenia oraz rozliczenia rozpoczętych prac: [Okres i zasady wypowiedzenia]. Przy zakończeniu strony dokumentują faktycznie wykonany zakres, płatności, przekazanie rezultatów oraz zwrot lub usunięcie danych. Zaliczkę rozlicza się względem należnego wynagrodzenia i zasad wynikających z umowy i prawa.</w:t>
      </w:r>
    </w:p>
    <w:p>
      <w:pPr>
        <w:pStyle w:val="Heading1"/>
      </w:pPr>
      <w:r>
        <w:t>§ 9. Postanowienia końcowe</w:t>
      </w:r>
    </w:p>
    <w:p>
      <w:r>
        <w:t>Zmiany wymagają co najmniej utrwalenia uzgodnienia w uzgodnionym kanale; czynności wymagające ustawowo szczególnej formy zachowują tę formę. Stosuje się prawo polskie. Spory strony najpierw próbują wyjaśnić polubownie, a następnie kierują do sądu właściwego według przepisów. Postanowienia nie ograniczają bezwzględnie obowiązujących praw Zamawiającego.</w:t>
      </w:r>
    </w:p>
    <w:p>
      <w:pPr>
        <w:pStyle w:val="Heading1"/>
      </w:pPr>
      <w:r>
        <w:t>Podpisy</w:t>
      </w:r>
    </w:p>
    <w:p>
      <w:r>
        <w:t>Wykonawca: ____________________     Zamawiający: 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WZÓR B2B • PROJEKT DO UZGODNIENIA • WERSJA 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DAWKOZ / DOKUMENTY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273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5273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wdrożeniowa B2B</dc:title>
  <dc:subject/>
  <dc:creator>DAWKOZ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