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Hellhounds and the Void: The Heart Sūtra as Survival Technology in a Blues Epistemology</w:t>
      </w:r>
    </w:p>
    <w:p>
      <w:r/>
      <w:r>
        <w:rPr>
          <w:b/>
        </w:rPr>
        <w:t>[REDACTED FOR PEER REVIEW]</w:t>
      </w:r>
      <w:r/>
    </w:p>
    <w:p>
      <w:r>
        <w:br w:type="page"/>
      </w:r>
    </w:p>
    <w:p>
      <w:pPr>
        <w:pStyle w:val="Heading2"/>
      </w:pPr>
      <w: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I treat the possibility of an AI-assisted "Blues-vernacular" translation as an ethical provocation that interrogates digital extraction and the boundaries of cross-cultural encounter. The "Emptiness Blues" isn't a theory. It's a way through the fire.</w:t>
      </w:r>
    </w:p>
    <w:p>
      <w:pPr>
        <w:pStyle w:val="Heading2"/>
      </w:pPr>
      <w:r/>
      <w:r>
        <w:rPr>
          <w:b/>
        </w:rPr>
        <w:t>Keywords:</w:t>
      </w:r>
      <w:r>
        <w:t xml:space="preserve"> Black Buddhism, Heart Sūtra, śūnyatā, Blues epistemology, vernacular translation, digital extraction, Africana religions, survival technology, strategic dispossession</w:t>
      </w:r>
    </w:p>
    <w:p>
      <w:pPr>
        <w:pStyle w:val="Heading2"/>
      </w:pPr>
      <w: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w:t>
      </w:r>
      <w:r>
        <w:rPr>
          <w:vertAlign w:val="superscript"/>
        </w:rPr>
        <w:t>1</w:t>
      </w:r>
      <w:r>
        <w:t xml:space="preserve"> Woods argued that the Blues wasn't just music. It was a "blues epistemology": a way of knowing forged in the crucible of absolute precarity, a survival technology designed to navigate the void where the law refuses to go.</w:t>
      </w:r>
    </w:p>
    <w:p>
      <w:r>
        <w:t xml:space="preserve">I'm proposing a collision. Not a polite bridge-building exercise, but a high-speed crash between survival knowledge and the </w:t>
      </w:r>
      <w:r>
        <w:rPr>
          <w:i/>
        </w:rPr>
        <w:t>Prajñāpāramitā Hṛdaya Sūtra</w:t>
      </w:r>
      <w:r>
        <w:t>---the Heart Sūtra. For my purposes, this text functions as an ontological vacuum. Within the East Asian liturgical tradition, especially Xuanzang’s 7th-century rendering, the Sūtra’s condensed prose dismantles the coordinates of the self: sense-bases, consciousness, even the Four Noble Truths.</w:t>
      </w:r>
      <w:r>
        <w:rPr>
          <w:vertAlign w:val="superscript"/>
        </w:rPr>
        <w:t>19</w:t>
      </w:r>
      <w:r>
        <w:t xml:space="preserve">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The author approaches this as a white practitioner and independent scholar working outside institutional academia. I've practiced Buddhism for forty years across multiple traditions—Chan, Zen, Shambhala, Theravāda, and Nichiren (SGI)—but I've lived those decades in a body that has never been a target for systemic violence. To write about the Blues from this position is to step into a minefield of cultural theft. Am I "claiming" the Blues? Or am I being claimed by the resonance between two different ways of surviving a crisis?</w:t>
      </w:r>
    </w:p>
    <w:p>
      <w:r>
        <w:t xml:space="preserve">I treat the AI-assisted "Blues vernacular" translation as a thought experiment---an </w:t>
      </w:r>
      <w:r>
        <w:rPr>
          <w:b/>
        </w:rPr>
        <w:t>ethical provocation</w:t>
      </w:r>
      <w:r>
        <w:t xml:space="preserve"> to interrogate the process of cross-cultural encounter. I use the phrase "dressing up the Dharma" as a self-conscious metaphor for translation across cultures. In the 21st century, my "dressing up" of the Dharma in Black clothes is fraught with the history of minstrelsy.</w:t>
      </w:r>
    </w:p>
    <w:p>
      <w:r>
        <w:t>The stakes are high. Within the emerging "Black Buddhist Turn," scholars like Kamilah Majied</w:t>
      </w:r>
      <w:r>
        <w:rPr>
          <w:vertAlign w:val="superscript"/>
        </w:rPr>
        <w:t>4</w:t>
      </w:r>
      <w:r>
        <w:t xml:space="preserve"> and Rima Vesely-Flad</w:t>
      </w:r>
      <w:r>
        <w:rPr>
          <w:vertAlign w:val="superscript"/>
        </w:rPr>
        <w:t>5</w:t>
      </w:r>
      <w:r>
        <w:t xml:space="preserve"> are doing the real labor. They aren't just receiving a tradition; they're revealing what Zenju Earthlyn Manuel calls "the way of tenderness"---a path that runs right through the wounds of race.</w:t>
      </w:r>
      <w:r>
        <w:rPr>
          <w:vertAlign w:val="superscript"/>
        </w:rPr>
        <w:t>6</w:t>
      </w:r>
      <w:r>
        <w:t xml:space="preserve"> My role is to listen. To stay accountable. To point toward the wisdom that has been overlooked in white-dominant spaces.</w:t>
      </w:r>
    </w:p>
    <w:p>
      <w:r>
        <w:t xml:space="preserve">This article reverses the usual hierarchy. I'm not using Blackness to "explain" Buddhism. I'm centering Black Buddhist thought as the primary lens. </w:t>
      </w:r>
      <w:r>
        <w:rPr>
          <w:b/>
        </w:rPr>
        <w:t>Crucially, the connection proposed here is one of structural resonance rather than historical genealogy.</w:t>
      </w:r>
      <w: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survival technologies for inhabiting the void. Section 2 frames the Sūtra as a crisis text. Section 3 reads its negations as a survival strategy. Section 4 tackles "Emptiness as Mobility." Section 5 looks at the Mantra as a "sonic turn." Finally, Sections 6 and 7 interrogate the ethics of this entire project---translation, appropriation, and the raw reality of the "encounter."</w:t>
      </w:r>
    </w:p>
    <w:p>
      <w:r>
        <w:br w:type="page"/>
      </w:r>
    </w:p>
    <w:p>
      <w:pPr>
        <w:pStyle w:val="Heading2"/>
      </w:pPr>
      <w:r>
        <w:t>2. 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Much scholarship treats it as a summary---a "heart" (</w:t>
      </w:r>
      <w:r>
        <w:rPr>
          <w:i/>
        </w:rPr>
        <w:t>hṛdaya</w:t>
      </w:r>
      <w:r>
        <w:t>) of the vast Perfection of Wisdom literature. Donald Lopez has traced its functions across Asia: a philosophical treatise in India, a protective talisman in Tibet.</w:t>
      </w:r>
      <w:r>
        <w:rPr>
          <w:vertAlign w:val="superscript"/>
        </w:rPr>
        <w:t>8</w:t>
      </w:r>
      <w:r>
        <w:t xml:space="preserve"> The text has generated extensive commentarial traditions in Sanskrit, Tibetan, and Chinese—from Kamalaśīla's Indian commentary to the elaborate Tibetan </w:t>
      </w:r>
      <w:r>
        <w:rPr>
          <w:i/>
        </w:rPr>
        <w:t>tengyur</w:t>
      </w:r>
      <w:r>
        <w:t xml:space="preserve"> analyses—each offering distinct interpretative frameworks that repay close study. While acknowledging this rich exegetical history, this article focuses on the Heart Sūtra's </w:t>
      </w:r>
      <w:r>
        <w:rPr>
          <w:i/>
        </w:rPr>
        <w:t>functional</w:t>
      </w:r>
      <w:r>
        <w:t xml:space="preserve"> interpretation—how it operates as survival technology rather than doctrinal content. This functional reading also sidesteps the Western philosophical reception of </w:t>
      </w:r>
      <w:r>
        <w:rPr>
          <w:i/>
        </w:rPr>
        <w:t>śūnyatā</w:t>
      </w:r>
      <w:r>
        <w:t>, which has often been distorted through nihilistic lenses; Schopenhauer's appropriation of Buddhist "nothingness" as metaphysical pessimism exemplifies exactly the misreading this article resists. Philologically, Jan Nattier and Stefano Zacchetti suggest it might be a Chinese apocryphon---a creative synthesis of fragments rather than a direct translation from Sanskrit.</w:t>
      </w:r>
      <w:r>
        <w:rPr>
          <w:vertAlign w:val="superscript"/>
        </w:rPr>
        <w:t>9</w:t>
      </w:r>
      <w:r/>
      <w:r>
        <w:rPr>
          <w:vertAlign w:val="superscript"/>
        </w:rPr>
        <w:t>10</w:t>
      </w:r>
      <w:r>
        <w:t xml:space="preserve">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t>The Heart Sūtra circulates in two primary recensions. The short version, common in East Asian Zen/Chan liturgies, begins directly with Avalokiteśvara’s practice and ends with the mantra. The long version, standard in Tibetan ritual settings, adds a prologue at Vulture Peak and an epilogue where the Buddha praises Avalokiteśvara’s words.</w:t>
      </w:r>
      <w:r>
        <w:rPr>
          <w:vertAlign w:val="superscript"/>
        </w:rPr>
        <w:t>8</w:t>
      </w:r>
      <w:r>
        <w:t xml:space="preserve"> Recent philological work also underscores the sutra’s oral and epitomizing character, complicating any simple linear account of its transmission.</w:t>
      </w:r>
      <w:r>
        <w:rPr>
          <w:vertAlign w:val="superscript"/>
        </w:rPr>
        <w:t>48</w:t>
      </w:r>
      <w:r/>
    </w:p>
    <w:p>
      <w:r/>
      <w:r>
        <w:rPr>
          <w:b/>
        </w:rPr>
        <w:t>In this reading</w:t>
      </w:r>
      <w:r>
        <w:t xml:space="preserve">, the Heart Sūtra functions as a </w:t>
      </w:r>
      <w:r>
        <w:rPr>
          <w:b/>
        </w:rPr>
        <w:t>crisis text</w:t>
      </w:r>
      <w:r>
        <w:t xml:space="preserv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w:t>
      </w:r>
      <w:r>
        <w:rPr>
          <w:vertAlign w:val="superscript"/>
        </w:rPr>
        <w:t>11</w:t>
      </w:r>
      <w:r>
        <w:t xml:space="preserve"> But for whom is this groundlessness a gift? For the comfortable, "groundlessness" is an abstract luxury---a philosophical toy. For the dispossessed, it's the air they've been forced to breathe.</w:t>
      </w:r>
      <w:r>
        <w:rPr>
          <w:vertAlign w:val="superscript"/>
        </w:rPr>
        <w:t>12</w:t>
      </w:r>
      <w:r/>
    </w:p>
    <w:p>
      <w:r>
        <w:t>Much of modern, white-dominant Buddhism in the West is built on what I call "liturgical hospitality."</w:t>
      </w:r>
      <w:r>
        <w:rPr>
          <w:vertAlign w:val="superscript"/>
        </w:rPr>
        <w:t>15</w:t>
      </w:r>
      <w:r>
        <w:t xml:space="preserve"> It's designed to soothe. It offers comfortable cushions, soft lighting, and translations that emphasize "peace" and "calm." The Heart Sūtra is the opposite. It's a controlled demolition. It refuses to stabilize the practitioner.</w:t>
      </w:r>
    </w:p>
    <w:p>
      <w:r>
        <w:t>This maps onto what Clyde Woods called the "Blues Block."</w:t>
      </w:r>
      <w:r>
        <w:rPr>
          <w:vertAlign w:val="superscript"/>
        </w:rPr>
        <w:t>14</w:t>
      </w:r>
      <w:r>
        <w:t xml:space="preserve">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w:t>
      </w:r>
      <w:r>
        <w:rPr>
          <w:vertAlign w:val="superscript"/>
        </w:rPr>
        <w:t>13</w:t>
      </w:r>
      <w:r>
        <w:t xml:space="preserve">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pPr>
        <w:pStyle w:val="Heading3"/>
      </w:pPr>
      <w:r>
        <w:t>Testimony and the Democratic Ear</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 xml:space="preserve"> in the sense that the insight is reported by a practitioner rather than delivered directly by the Buddha.</w:t>
      </w:r>
      <w:r>
        <w:rPr>
          <w:vertAlign w:val="superscript"/>
        </w:rPr>
        <w:t>19</w:t>
      </w:r>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w:t>
      </w:r>
      <w:r>
        <w:rPr>
          <w:vertAlign w:val="superscript"/>
        </w:rPr>
        <w:t>16</w:t>
      </w:r>
      <w:r>
        <w:t xml:space="preserve">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w:t>
      </w:r>
      <w:r>
        <w:rPr>
          <w:vertAlign w:val="superscript"/>
        </w:rPr>
        <w:t>17</w:t>
      </w:r>
      <w:r>
        <w:t xml:space="preserve"> The Buddha confirms what has been said, a familiar Mahāyāna convention.</w:t>
      </w:r>
      <w:r>
        <w:rPr>
          <w:vertAlign w:val="superscript"/>
        </w:rPr>
        <w:t>8</w:t>
      </w:r>
      <w:r>
        <w:t xml:space="preserve">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In East Asian contexts, the Heart Sūtra’s chanting also functions as a ritual technology that shapes space, attention, and communal practice.</w:t>
      </w:r>
      <w:r>
        <w:rPr>
          <w:vertAlign w:val="superscript"/>
        </w:rPr>
        <w:t>49</w:t>
      </w:r>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my vernacular translation concludes: "She looks into the nature of reality. And what she sees sets her free."</w:t>
      </w:r>
      <w:r>
        <w:rPr>
          <w:vertAlign w:val="superscript"/>
        </w:rPr>
        <w:t>18</w:t>
      </w:r>
      <w:r/>
    </w:p>
    <w:p>
      <w:r>
        <w:br w:type="page"/>
      </w:r>
    </w:p>
    <w:p>
      <w:pPr>
        <w:pStyle w:val="Heading2"/>
      </w:pPr>
      <w:r>
        <w:t>3. "No Eyes, No Ears": Dispossession, Not Abstraction</w:t>
      </w:r>
    </w:p>
    <w:p>
      <w:r>
        <w:t>The structural center of the Heart Sūtra is what I call the great negation. Avalokiteśvara systematically strips away the "I": "no eye, ear, nose, tongue, body, mind; no sight, sound, smell, taste, touch, thought."</w:t>
      </w:r>
      <w:r>
        <w:rPr>
          <w:vertAlign w:val="superscript"/>
        </w:rPr>
        <w:t>19</w:t>
      </w:r>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w:t>
      </w:r>
      <w:r>
        <w:rPr>
          <w:vertAlign w:val="superscript"/>
        </w:rPr>
        <w:t>20</w:t>
      </w:r>
      <w:r>
        <w:t xml:space="preserve">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"No eyes, no ears, no body." To hear this while hyper-embodied as a target is an invitation. It dissolves the coordinates the system uses to find us.</w:t>
      </w:r>
    </w:p>
    <w:p>
      <w:r>
        <w:t>I see this as a counter to what Orlando Patterson called "social death."</w:t>
      </w:r>
      <w:r>
        <w:rPr>
          <w:vertAlign w:val="superscript"/>
        </w:rPr>
        <w:t>21</w:t>
      </w:r>
      <w:r/>
      <w:r>
        <w:rPr>
          <w:vertAlign w:val="superscript"/>
        </w:rPr>
        <w:t>22</w:t>
      </w:r>
      <w:r>
        <w:t xml:space="preserve">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Suffering arrives---but it passes right through. Like shooting arrows at the sky.</w:t>
      </w:r>
      <w:r>
        <w:rPr>
          <w:vertAlign w:val="superscript"/>
        </w:rPr>
        <w:t>23</w:t>
      </w:r>
      <w:r>
        <w:t xml:space="preserve"> This line is from my vernacular translation.</w:t>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w:t>
      </w:r>
      <w:r>
        <w:rPr>
          <w:vertAlign w:val="superscript"/>
        </w:rPr>
        <w:t>24</w:t>
      </w:r>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w:t>
      </w:r>
      <w:r>
        <w:rPr>
          <w:vertAlign w:val="superscript"/>
        </w:rPr>
        <w:t>25</w:t>
      </w:r>
      <w:r>
        <w:t xml:space="preserve">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the Tibetan commentarial tradition, following Haribhadra and later the </w:t>
      </w:r>
      <w:r>
        <w:rPr>
          <w:i/>
        </w:rPr>
        <w:t>tengyur</w:t>
      </w:r>
      <w:r>
        <w:t xml:space="preserve"> exegetes, they are typically identified as the "two obscurations": the obscuration of afflictive emotions (</w:t>
      </w:r>
      <w:r>
        <w:rPr>
          <w:i/>
        </w:rPr>
        <w:t>kleśāvaraṇa</w:t>
      </w:r>
      <w:r>
        <w:t>) and the obscuration of cognitive errors (</w:t>
      </w:r>
      <w:r>
        <w:rPr>
          <w:i/>
        </w:rPr>
        <w:t>jñeyāvaraṇa</w:t>
      </w:r>
      <w:r>
        <w:t>).</w:t>
      </w:r>
      <w:r>
        <w:rPr>
          <w:vertAlign w:val="superscript"/>
        </w:rPr>
        <w:t>47</w:t>
      </w:r>
      <w:r>
        <w:t xml:space="preserve">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2"/>
      </w:pPr>
      <w:r>
        <w:t>4. Emptiness as Mobility, Not Void</w:t>
      </w:r>
    </w:p>
    <w:p>
      <w:r>
        <w:t xml:space="preserve">Don't confuse </w:t>
      </w:r>
      <w:r>
        <w:rPr>
          <w:i/>
        </w:rPr>
        <w:t>śūnyatā</w:t>
      </w:r>
      <w:r>
        <w:t xml:space="preserve"> with nihilism. That's a domesticated reading for those who have the luxury of a stable ground. Scholars debate whether the Sūtra's negations are primarily ontological, epistemological, or soteriological; this article emphasizes </w:t>
      </w:r>
      <w:r>
        <w:rPr>
          <w:i/>
        </w:rPr>
        <w:t>śūnyatā's</w:t>
      </w:r>
      <w:r>
        <w:t xml:space="preserve"> pragmatic—that is, soteriological—function as survival technology. For those surviving the Mississippi Delta, emptiness wasn't a void. It was </w:t>
      </w:r>
      <w:r>
        <w:rPr>
          <w:b/>
        </w:rPr>
        <w:t>hypermobility</w:t>
      </w:r>
      <w:r>
        <w:t>. It was the refusal to be nailed down by the categories of the state.</w:t>
      </w:r>
    </w:p>
    <w:p>
      <w:r>
        <w:t>The text’s portability and brevity have also fueled its uptake in modern Western contexts, where commentaries often frame it as both a practice text and a philosophical primer.</w:t>
      </w:r>
      <w:r>
        <w:rPr>
          <w:vertAlign w:val="superscript"/>
        </w:rPr>
        <w:t>50</w:t>
      </w:r>
      <w:r/>
    </w:p>
    <w:p>
      <w:pPr>
        <w:pStyle w:val="Heading3"/>
      </w:pPr>
      <w:r>
        <w:t>Western Reception and Transculturation</w:t>
      </w:r>
    </w:p>
    <w:p>
      <w:r>
        <w:t>In the West, the Heart Sūtra moved from 19th-century philology to 20th-century counterculture and, more recently, to secularized mindfulness. Early translations by Beal and Müller framed it as a philosophical curiosity and helped fix its “negative” logic within Orientalist reception patterns.</w:t>
      </w:r>
      <w:r>
        <w:rPr>
          <w:vertAlign w:val="superscript"/>
        </w:rPr>
        <w:t>51</w:t>
      </w:r>
      <w:r/>
      <w:r>
        <w:rPr>
          <w:vertAlign w:val="superscript"/>
        </w:rPr>
        <w:t>52</w:t>
      </w:r>
      <w:r/>
      <w:r>
        <w:rPr>
          <w:vertAlign w:val="superscript"/>
        </w:rPr>
        <w:t>53</w:t>
      </w:r>
      <w:r>
        <w:t xml:space="preserve"> Mid-century Zen and Beat readings embraced the litany of negation as an existential release from materialist habit, a shift visible in Ginsberg’s chanting notations.</w:t>
      </w:r>
      <w:r>
        <w:rPr>
          <w:vertAlign w:val="superscript"/>
        </w:rPr>
        <w:t>54</w:t>
      </w:r>
      <w:r>
        <w:t xml:space="preserve"> Contemporary Western uptake often aligns emptiness with scientific and psychological vocabularies, especially in popularized “quantum” analogies and modernist meditation cultures.</w:t>
      </w:r>
      <w:r>
        <w:rPr>
          <w:vertAlign w:val="superscript"/>
        </w:rPr>
        <w:t>55</w:t>
      </w:r>
      <w:r/>
      <w:r>
        <w:rPr>
          <w:vertAlign w:val="superscript"/>
        </w:rPr>
        <w:t>56</w:t>
      </w:r>
      <w:r/>
    </w:p>
    <w:p>
      <w:r>
        <w:t xml:space="preserve">| Aspect | Traditional Mahāyāna Context | Modern Western Reception | | --- | --- | --- | | Primary Goal | Merit-making, protection, and liberation | Self-realization and psychological insight | | Mechanism | Ritual chanting and mantra recitation | Intellectual analysis and silent meditation | | Status of </w:t>
      </w:r>
      <w:r>
        <w:rPr>
          <w:i/>
        </w:rPr>
        <w:t>śūnyatā</w:t>
      </w:r>
      <w:r>
        <w:t xml:space="preserve"> | A radical ontological shift in reality | A metaphor for "connectedness" or "flow" |</w:t>
      </w:r>
    </w:p>
    <w:p>
      <w:pPr>
        <w:pStyle w:val="Heading3"/>
      </w:pPr>
      <w:r>
        <w:t>Testimony: Form Is Emptiness</w:t>
      </w:r>
    </w:p>
    <w:p>
      <w:r>
        <w:t>Avalokiteśvara’s testimony is not abstract doctrine but a report of what is seen in deep practice: the five aggregates are empty and the world cannot be fixed in place.</w:t>
      </w:r>
      <w:r>
        <w:rPr>
          <w:vertAlign w:val="superscript"/>
        </w:rPr>
        <w:t>19</w:t>
      </w:r>
      <w:r>
        <w:t xml:space="preserve"> In ritual settings, that testimony is rehearsed and re-voiced through chanting, so the insight becomes a shared rhythm rather than a private conclusion.</w:t>
      </w:r>
      <w:r>
        <w:rPr>
          <w:vertAlign w:val="superscript"/>
        </w:rPr>
        <w:t>49</w:t>
      </w:r>
      <w:r>
        <w:t xml:space="preserve"> In Western reception, the same testimony is often read through psychological or scientific frames, which can be useful, but the claim remains stubbornly non-dual: form is emptiness, and emptiness is form.</w:t>
      </w:r>
      <w:r>
        <w:rPr>
          <w:vertAlign w:val="superscript"/>
        </w:rPr>
        <w:t>50</w:t>
      </w:r>
      <w:r/>
      <w:r>
        <w:rPr>
          <w:vertAlign w:val="superscript"/>
        </w:rPr>
        <w:t>56</w:t>
      </w:r>
      <w:r>
        <w:t xml:space="preserve"> What survives across contexts is the insistence that liberation is not elsewhere; it is a way of seeing through the grip of reification while staying inside the world it names.</w:t>
      </w:r>
    </w:p>
    <w:p>
      <w:pPr>
        <w:pStyle w:val="Heading3"/>
      </w:pPr>
      <w:r>
        <w:t>Fluidity, Not Void</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w:t>
      </w:r>
      <w:r>
        <w:rPr>
          <w:vertAlign w:val="superscript"/>
        </w:rPr>
        <w:t>26</w:t>
      </w:r>
      <w:r>
        <w:t xml:space="preserve"> This captures the Sūtra's teaching on the non-duality of form and emptiness. As famously popularized by Jon Kabat-Zinn but originating with Swami Satchidananda, "you can't stop the waves, but you can learn to surf."</w:t>
      </w:r>
      <w:r>
        <w:rPr>
          <w:vertAlign w:val="superscript"/>
        </w:rPr>
        <w:t>27</w:t>
      </w:r>
      <w:r>
        <w:t xml:space="preserve"> In the Delta, the Sūtra teaches us how to ride the waves of history without being drowned by the fear of its weight.</w:t>
      </w:r>
    </w:p>
    <w:p>
      <w:pPr>
        <w:pStyle w:val="Heading3"/>
      </w:pPr>
      <w:r>
        <w:t>The Madhyamaka Anchor</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w:t>
      </w:r>
      <w:r>
        <w:rPr>
          <w:i/>
        </w:rPr>
        <w:t>saṃvṛti-satya</w:t>
      </w:r>
      <w:r>
        <w:t>) of a world gone wrong. The other truth: the ontological categories on which that violence depends are empty. This isn't a bypass. It's an inhabitation. You live in both registers at once. You feel the heat of the fire, but you know the fire has no soul.</w:t>
      </w:r>
    </w:p>
    <w:p>
      <w:r>
        <w:t xml:space="preserve">The Two Truths doctrine is essential here because it prevents the misreading that plagues so much popular Buddhism: the assumption that "emptiness" means "nothing matters." The conventional truth of suffering is fully real at its own level. The arrows are sharp. The hounds have teeth. The Madhyamaka point is that these phenomena lack </w:t>
      </w:r>
      <w:r>
        <w:rPr>
          <w:i/>
        </w:rPr>
        <w:t>inherent</w:t>
      </w:r>
      <w:r>
        <w:t xml:space="preserve"> existence—they are dependently originated, not self-existent—which means they can be transformed. The Two Truths are not two separate realities, but two ways of seeing one reality. As Nāgārjuna writes in </w:t>
      </w:r>
      <w:r>
        <w:rPr>
          <w:i/>
        </w:rPr>
        <w:t>Mūlamadhyamakakārikā</w:t>
      </w:r>
      <w:r>
        <w:t xml:space="preserve"> 24.10: "Without relying on the conventional, the ultimate cannot be taught; without understanding the ultimate, liberation is not attained."</w:t>
      </w:r>
      <w:r>
        <w:rPr>
          <w:vertAlign w:val="superscript"/>
        </w:rPr>
        <w:t>28</w:t>
      </w:r>
      <w:r>
        <w:t xml:space="preserve"> To inhabit the Blues Block is to know its conventional reality with full visceral intensity while simultaneously recognizing its ultimate emptiness.</w:t>
      </w:r>
    </w:p>
    <w:p>
      <w:r>
        <w:t xml:space="preserve">In the </w:t>
      </w:r>
      <w:r>
        <w:rPr>
          <w:i/>
        </w:rPr>
        <w:t>Mūlamadhyamakakārikā</w:t>
      </w:r>
      <w:r>
        <w:t xml:space="preserve">, Nāgārjuna argues that things are empty </w:t>
      </w:r>
      <w:r>
        <w:rPr>
          <w:i/>
        </w:rPr>
        <w:t>because</w:t>
      </w:r>
      <w:r>
        <w:t xml:space="preserve"> they are dependently originated.[^28a] They exist only in relation. To find freedom, you must identify the </w:t>
      </w:r>
      <w:r>
        <w:rPr>
          <w:b/>
        </w:rPr>
        <w:t>Object of Negation</w:t>
      </w:r>
      <w:r>
        <w:t xml:space="preserve"> (</w:t>
      </w:r>
      <w:r>
        <w:rPr>
          <w:i/>
        </w:rPr>
        <w:t>dgag bya</w:t>
      </w:r>
      <w:r>
        <w:t xml:space="preserve">). This is the central methodological question of Madhyamaka praxis: what exactly is being negated? The answer is </w:t>
      </w:r>
      <w:r>
        <w:rPr>
          <w:i/>
        </w:rPr>
        <w:t>svabhāva</w:t>
      </w:r>
      <w:r>
        <w:t>—intrinsic nature, independent being, essence that exists from its own side without depending on causes, conditions, or conceptual imputation.</w:t>
      </w:r>
    </w:p>
    <w:p>
      <w:r>
        <w:t xml:space="preserve">This is exactly what "Plantation Power" tries to nail onto the Black body: a fixed, essential "thingness." A solidity that can be owned, traded, and discarded. The racial category functions as if it were </w:t>
      </w:r>
      <w:r>
        <w:rPr>
          <w:i/>
        </w:rPr>
        <w:t>svabhāva</w:t>
      </w:r>
      <w:r>
        <w:t xml:space="preserve">—an indelible mark that defines the person's being. Madhyamaka proves that such solidity is a metaphysical lie. The "Negro" of the law is not an ultimate reality; it is a violent, dependent construction. The Object of Negation is not the person, not the body, not even the experience of suffering—it is the </w:t>
      </w:r>
      <w:r>
        <w:rPr>
          <w:i/>
        </w:rPr>
        <w:t>reification</w:t>
      </w:r>
      <w:r>
        <w:t xml:space="preserve"> of these into something permanent, fixed, and target-able. When the Sūtra says "no eyes, no ears," it is negating the </w:t>
      </w:r>
      <w:r>
        <w:rPr>
          <w:i/>
        </w:rPr>
        <w:t>svabhāva</w:t>
      </w:r>
      <w:r>
        <w:t xml:space="preserve"> of the sense-bases, not the conventional reality of seeing and hearing. The practice is surgical: it removes the tumor of essentialism while leaving the living tissue intact.</w:t>
      </w:r>
    </w:p>
    <w:p>
      <w:r>
        <w:t xml:space="preserve">It's the </w:t>
      </w:r>
      <w:r>
        <w:rPr>
          <w:b/>
        </w:rPr>
        <w:t>logic of the crossroads</w:t>
      </w:r>
      <w:r>
        <w:t xml:space="preserve">—the </w:t>
      </w:r>
      <w:r>
        <w:rPr>
          <w:i/>
        </w:rPr>
        <w:t>catuṣkoṭi</w:t>
      </w:r>
      <w:r>
        <w:t xml:space="preserve"> (tetralemma), a structure that refutes all extremes. Are we here? No. Are we there? No. Both? No. Neither? No. At the crossroads, we are the transit itself. I read the </w:t>
      </w:r>
      <w:r>
        <w:rPr>
          <w:i/>
        </w:rPr>
        <w:t>catuṣkoṭi</w:t>
      </w:r>
      <w:r>
        <w:t xml:space="preserve"> here as a liberation technology: by refusing all four positions, it dismantles the binary thinking (</w:t>
      </w:r>
      <w:r>
        <w:rPr>
          <w:i/>
        </w:rPr>
        <w:t>vikalpa</w:t>
      </w:r>
      <w:r>
        <w:t>) that locks phenomena into fixed categories. When Robert Johnson sings about "standing at the crossroads," he's in the middle of this tetralemma. He's all positions and none of them. He's in motion. The Devil may offer a deal, but the crossroads itself is the place where deals dissolve—where the fixed self that could sign a contract reveals itself as empty.</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pPr>
        <w:pStyle w:val="Heading3"/>
      </w:pPr>
      <w:r>
        <w:t>The Crossroads and the Mojo</w:t>
      </w:r>
    </w:p>
    <w:p>
      <w:r>
        <w:t>Houston Baker's theory of the Blues as a "matrix" fits perfectly here. He describes the Blues as a site of "generative uncertainty"---a railroad crossing where meanings are constantly reconfigured.</w:t>
      </w:r>
      <w:r>
        <w:rPr>
          <w:vertAlign w:val="superscript"/>
        </w:rPr>
        <w:t>29</w:t>
      </w:r>
      <w:r/>
    </w:p>
    <w:p>
      <w: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w:t>
      </w:r>
      <w:r>
        <w:rPr>
          <w:vertAlign w:val="superscript"/>
        </w:rPr>
        <w:t>24</w:t>
      </w:r>
      <w:r>
        <w:t xml:space="preserve"> Sharpe's concept of "wake work"---the labor of living in the ongoing disaster of slavery's afterlife---names precisely what the Sūtra offers: not escape from the wake, but a way to breathe inside it.</w:t>
      </w:r>
      <w:r>
        <w:rPr>
          <w:vertAlign w:val="superscript"/>
        </w:rPr>
        <w:t>44</w:t>
      </w:r>
      <w:r>
        <w:t xml:space="preserve">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w:t>
      </w:r>
      <w:r>
        <w:rPr>
          <w:vertAlign w:val="superscript"/>
        </w:rPr>
        <w:t>31</w:t>
      </w:r>
      <w:r>
        <w:t xml:space="preserve">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w:t>
      </w:r>
      <w:r>
        <w:rPr>
          <w:vertAlign w:val="superscript"/>
        </w:rPr>
        <w:t>32</w:t>
      </w:r>
      <w:r>
        <w:t xml:space="preserve">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w:t>
      </w:r>
      <w:r>
        <w:rPr>
          <w:vertAlign w:val="superscript"/>
        </w:rPr>
        <w:t>33</w:t>
      </w:r>
      <w:r>
        <w:t xml:space="preserve"> We see this same insistence in Pamela Ayo Yetunde's analysis of Prince, where spiritual devotion and rhythmic audacity combine to navigate the "thing called life" with both vulnerability and power.</w:t>
      </w:r>
      <w:r>
        <w:rPr>
          <w:vertAlign w:val="superscript"/>
        </w:rPr>
        <w:t>34</w:t>
      </w:r>
      <w:r/>
    </w:p>
    <w:p>
      <w:r>
        <w:t>The Heart Sūtra is doing the same. Its negations are clearings. They strip away the reifications that make suffering stick. Fred Moten theorizes the "break" as the generative rupture where Black sound escapes capture---a sonic analogue to the Sūtra's systematic negations.</w:t>
      </w:r>
      <w:r>
        <w:rPr>
          <w:vertAlign w:val="superscript"/>
        </w:rPr>
        <w:t>45</w:t>
      </w:r>
      <w:r>
        <w:t xml:space="preserve">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r>
        <w:br w:type="page"/>
      </w:r>
    </w:p>
    <w:p>
      <w:pPr>
        <w:pStyle w:val="Heading2"/>
      </w:pPr>
      <w: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r>
        <w:t xml:space="preserve">I see this as a partner to the "shout" of the Black church. James Cone, in </w:t>
      </w:r>
      <w:r>
        <w:rPr>
          <w:i/>
        </w:rPr>
        <w:t>The Spirituals and the Blues</w:t>
      </w:r>
      <w:r>
        <w:t>, argued that the shout was a "rhythmic affirmation of humanity in the midst of its denial."</w:t>
      </w:r>
      <w:r>
        <w:rPr>
          <w:vertAlign w:val="superscript"/>
        </w:rPr>
        <w:t>35</w:t>
      </w:r>
      <w:r>
        <w:t xml:space="preserve">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w:t>
      </w:r>
      <w:r>
        <w:rPr>
          <w:vertAlign w:val="superscript"/>
        </w:rPr>
        <w:t>36</w:t>
      </w:r>
      <w:r>
        <w:t xml:space="preserv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Pr>
        <w:pStyle w:val="Heading2"/>
      </w:pPr>
      <w:r>
        <w:t>6. The Chinese Room and the Zombie Text: On AI Translation</w:t>
      </w:r>
    </w:p>
    <w:p>
      <w:r>
        <w:t>Consider a thought experiment: What if one were to produce a "Blues vernacular" translation of the Heart Sūtra using AI? Such an exercise would test the boundaries of cross-cultural encounter against the ethics of what I term "digital minstrelsy."</w:t>
      </w:r>
    </w:p>
    <w:p>
      <w:r>
        <w:t>The AI would operate inside what philosopher John Searle called the "Chinese Room": it would manipulate symbols (syntax) without understanding their meaning (semantics).</w:t>
      </w:r>
      <w:r>
        <w:rPr>
          <w:vertAlign w:val="superscript"/>
        </w:rPr>
        <w:t>37</w:t>
      </w:r>
      <w:r>
        <w:t xml:space="preserve"> To put it plainly: syntax is knowing the grammar of the Blues—the twelve-bar structure, the flattened third, the call-and-response pattern—while semantics is knowing what it </w:t>
      </w:r>
      <w:r>
        <w:rPr>
          <w:i/>
        </w:rPr>
        <w:t>means</w:t>
      </w:r>
      <w:r>
        <w:t xml:space="preserve"> to sing those notes after your house has burned down. The AI would know the word "suffering" as a statistical token, but it would not know </w:t>
      </w:r>
      <w:r>
        <w:rPr>
          <w:i/>
        </w:rPr>
        <w:t>dukkha</w:t>
      </w:r>
      <w:r>
        <w:t>. It would know the word "hellhound," but it would never have been hunted. Why consider such an experiment at all? Because the language it would mimic—the Blues—is, in my view, one of the most potent vehicles available in the American context for conveying the truth of groundlessness. As Kamilah Majied argues, the aesthetic improvisations of Black music provide a "joyfully just" framework for navigating impermanence.</w:t>
      </w:r>
      <w:r>
        <w:rPr>
          <w:vertAlign w:val="superscript"/>
        </w:rPr>
        <w:t>38</w:t>
      </w:r>
      <w:r/>
    </w:p>
    <w:p>
      <w:r>
        <w:t xml:space="preserve">The resulting text would serve as a negative proof. By generating a text that is stylistically accurate but ontologically hollow, the AI would demonstrate exactly what cannot be extracted. It would operate by severing the howl from the hound. It would extract the aesthetic markers of Black suffering---the cadence, the imagery, the moan---and process them as data points, stripped of the historical weight of the Middle Passage and Jim Crow. In doing so, it would produce a "zombie text": something that walks and talks like the Blues yet ultimately lacks the </w:t>
      </w:r>
      <w:r>
        <w:rPr>
          <w:i/>
        </w:rPr>
        <w:t>prāṇa</w:t>
      </w:r>
      <w:r>
        <w:t xml:space="preserve"> (life force) of the lineage. It would offer sentiment, not survival.</w:t>
      </w:r>
    </w:p>
    <w:p>
      <w:r/>
      <w:r>
        <w:rPr>
          <w:b/>
        </w:rPr>
        <w:t>This failure would be the point.</w:t>
      </w:r>
      <w:r>
        <w:t xml:space="preserve"> The machine's limitation would mirror my own. As a white practitioner, I can access the syntax of the Blues---the theoretical structures of Woods's epistemology or the aesthetics of the crossroads---but I cannot access the semantics of its lived lineage. The AI would be a mirror of the unembodied scholar: we can both point to the fire, but neither of us has been burned by it.</w:t>
      </w:r>
    </w:p>
    <w:p>
      <w:r>
        <w:t>I have chosen not to include such a translation in this article. To do so would risk performing the very extraction I critique---using an algorithm to "dress up the Dharma in Black clothes" while remaining insulated from the embodied consequences of that gesture. The thought experiment stands as a rigorous negative proof: it demonstrates that the "Emptiness Blues" is not a code that can be cracked by an algorithm or colonized by a scholar. It is a wisdom that must be survived.</w:t>
      </w:r>
    </w:p>
    <w:p>
      <w:pPr>
        <w:pStyle w:val="Heading2"/>
      </w:pPr>
      <w:r>
        <w:t>7.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w:t>
      </w:r>
      <w:r>
        <w:rPr>
          <w:vertAlign w:val="superscript"/>
        </w:rPr>
        <w:t>25</w:t>
      </w:r>
      <w:r>
        <w:t xml:space="preserve"> To understand that nature is to experience it in the breath, the bone, and the marrow. It is to know that the "self" is a costume, but the "suffering" is a somatic reality that must be metabolized.</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w:t>
      </w:r>
      <w:r>
        <w:rPr>
          <w:vertAlign w:val="superscript"/>
        </w:rPr>
        <w:t>40</w:t>
      </w:r>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2"/>
      </w:pPr>
      <w:r>
        <w:t>8. 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w:t>
      </w:r>
      <w:r>
        <w:rPr>
          <w:vertAlign w:val="superscript"/>
        </w:rPr>
        <w:t>9</w:t>
      </w:r>
      <w:r>
        <w:t xml:space="preserve">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w:t>
      </w:r>
      <w:r>
        <w:rPr>
          <w:vertAlign w:val="superscript"/>
        </w:rPr>
        <w:t>29</w:t>
      </w:r>
      <w:r>
        <w:t xml:space="preserve"> A line from Robert Johnson shows up in a Muddy Waters song; a guitar lick from the Delta becomes a baseline in Chicago. This aesthetic of remixing is a refusal of purity. For the dispossessed, purity is a trap. If your legacy has been stolen, your only choice is to build something new from the fragments.</w:t>
      </w:r>
    </w:p>
    <w:p>
      <w:r>
        <w:t>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never authorized.</w:t>
      </w:r>
      <w:r>
        <w:rPr>
          <w:vertAlign w:val="superscript"/>
        </w:rPr>
        <w:t>46</w:t>
      </w:r>
      <w:r>
        <w:t xml:space="preserve"> As Saidiya Hartman writes in </w:t>
      </w:r>
      <w:r>
        <w:rPr>
          <w:i/>
        </w:rPr>
        <w:t>Wayward Lives, Beautiful Experiments</w:t>
      </w:r>
      <w:r>
        <w:t>, "waywardness" is a refusal to stay in one's place, a riotous experiment in living that defies the archival record.</w:t>
      </w:r>
      <w:r>
        <w:rPr>
          <w:vertAlign w:val="superscript"/>
        </w:rPr>
        <w:t>43</w:t>
      </w:r>
      <w:r>
        <w:t xml:space="preserve">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Pr>
        <w:pStyle w:val="Heading2"/>
      </w:pPr>
      <w:r>
        <w:t>9.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technology of endurance—a way to dissolve the coordinates of the self-as-target. The Sūtra's negations aren't abstractions. They are strategic. They clear the ground. The mantra isn't a spell. It's a sonic release.</w:t>
      </w:r>
    </w:p>
    <w:p>
      <w:r>
        <w:t>Stay in the crisis. Inhabit the void. Shout the mantra.</w:t>
      </w:r>
    </w:p>
    <w:p>
      <w:r>
        <w:t>Gone. Gone away. Gone beyond.</w:t>
      </w:r>
    </w:p>
    <w:p>
      <w:r>
        <w:t>Awake.</w:t>
      </w:r>
    </w:p>
    <w:p>
      <w:r>
        <w:t>Robert Johnson's "Hellhound on My Trail" says the forces pursuing us are real. The Heart Sūtra says the self being pursued isn't. In that paradox, there is a strange, defiant freedom. It's not a fix for the political problem of anti-Blackness. But it's a way to keep going. A way to maintain the capacity for love and creativity even when the hounds are howling.</w:t>
      </w:r>
    </w:p>
    <w:p>
      <w:r>
        <w:t>The implications for Africana religious studies are significant—though I offer them here as provocations rather than conclusions. If we accept the "Emptiness Blues" as a legitimate site of inquiry, several pathways open:</w:t>
      </w:r>
    </w:p>
    <w:p>
      <w:r>
        <w:t>First, we move beyond models of Black religion that trace influence solely through Atlantic genealogies. The Black Buddhist Turn—currently emerging in the work of Majied, Vesely-Flad, Manuel, and others—suggests that Black communities have always drawn on global resources to forge survival technologies. This isn't "borrowing"; it's the same creative synthesis that produced the Blues itself from African polyrhythms, Protestant hymns, and work songs.</w:t>
      </w:r>
    </w:p>
    <w:p>
      <w:r>
        <w:t>Second, it invites comparative work grounded in structural resonance rather than historical genealogy. Future scholarship might examine the resonances between Madhyamaka and the apophatic traditions of enslaved Muslims, or between tantric visualization and the "conjure" traditions of the Black South—not because there was direct transmission, but because similar crises generate similar epistemological responses.</w:t>
      </w:r>
    </w:p>
    <w:p>
      <w:r>
        <w:t>Third, and most critically, it insists that this work must be theorized by Black scholars. My role here has been to map a resonance and to stay accountable to the limits of my position. The real work—the work of articulating what the Black Buddhist Turn means for Black communities—belongs to the scholars who are living it.</w:t>
      </w:r>
    </w:p>
    <w:p>
      <w:r>
        <w:br w:type="page"/>
      </w:r>
    </w:p>
    <w:p>
      <w:pPr>
        <w:pStyle w:val="Heading1"/>
      </w:pPr>
      <w:r>
        <w:t>Notes</w:t>
      </w:r>
    </w:p>
    <w:p>
      <w:r>
        <w:rPr>
          <w:vertAlign w:val="superscript"/>
        </w:rPr>
        <w:t xml:space="preserve">1. </w:t>
      </w:r>
      <w:r>
        <w:t xml:space="preserve">Clyde Woods, </w:t>
      </w:r>
      <w:r>
        <w:rPr>
          <w:i/>
        </w:rPr>
        <w:t>Development Arrested: The Blues and Plantation Power in the Mississippi Delta</w:t>
      </w:r>
      <w:r>
        <w:t xml:space="preserve"> (London: Verso, 1998), 25-29.</w:t>
      </w:r>
    </w:p>
    <w:p>
      <w:r>
        <w:rPr>
          <w:vertAlign w:val="superscript"/>
        </w:rPr>
        <w:t xml:space="preserve">4. </w:t>
      </w:r>
      <w:r>
        <w:t xml:space="preserve">Kamilah Majied, "Billie and the Blues: Navigating the Intersection of Suffering and Joy," in </w:t>
      </w:r>
      <w:r>
        <w:rPr>
          <w:i/>
        </w:rPr>
        <w:t>Black and Buddhist: What Buddhism Can Teach Us about Race, Resilience, Transformation, and Freedom</w:t>
      </w:r>
      <w:r>
        <w:t>, ed. Pamela Ayo Yetunde and Cheryl A. Giles (Boulder: Shambhala Publications, 2020), 45-64.</w:t>
      </w:r>
    </w:p>
    <w:p>
      <w:r>
        <w:rPr>
          <w:vertAlign w:val="superscript"/>
        </w:rPr>
        <w:t xml:space="preserve">5. </w:t>
      </w:r>
      <w:r>
        <w:t xml:space="preserve">Rima Vesely-Flad, </w:t>
      </w:r>
      <w:r>
        <w:rPr>
          <w:i/>
        </w:rPr>
        <w:t>Black Buddhists and the Black Radical Tradition: The Practice of Stillness in the Movement for Liberation</w:t>
      </w:r>
      <w:r>
        <w:t xml:space="preserve"> (New York: NYU Press, 2022).</w:t>
      </w:r>
    </w:p>
    <w:p>
      <w:r>
        <w:rPr>
          <w:vertAlign w:val="superscript"/>
        </w:rPr>
        <w:t xml:space="preserve">6. </w:t>
      </w:r>
      <w:r>
        <w:t xml:space="preserve">Zenju Earthlyn Manuel, </w:t>
      </w:r>
      <w:r>
        <w:rPr>
          <w:i/>
        </w:rPr>
        <w:t>The Way of Tenderness: Awakening Through Race, Sexuality, and Gender</w:t>
      </w:r>
      <w:r>
        <w:t xml:space="preserve"> (Wisdom Publications, 2015).</w:t>
      </w:r>
    </w:p>
    <w:p>
      <w:r>
        <w:rPr>
          <w:vertAlign w:val="superscript"/>
        </w:rPr>
        <w:t xml:space="preserve">8. </w:t>
      </w:r>
      <w:r>
        <w:t xml:space="preserve">Donald S. Lopez, Jr., </w:t>
      </w:r>
      <w:r>
        <w:rPr>
          <w:i/>
        </w:rPr>
        <w:t>The Heart Sutra Explained: Indian and Tibetan Commentaries</w:t>
      </w:r>
      <w:r>
        <w:t xml:space="preserve"> (Albany: State University of New York Press, 1988), 22-24.</w:t>
      </w:r>
    </w:p>
    <w:p>
      <w:r>
        <w:rPr>
          <w:vertAlign w:val="superscript"/>
        </w:rPr>
        <w:t xml:space="preserve">9. </w:t>
      </w:r>
      <w:r>
        <w:t xml:space="preserve">Jan Nattier, "The Heart Sūtra: A Chinese Apocryphon?" </w:t>
      </w:r>
      <w:r>
        <w:rPr>
          <w:i/>
        </w:rPr>
        <w:t>Journal of the International Association of Buddhist Studies</w:t>
      </w:r>
      <w:r>
        <w:t xml:space="preserve"> 15, no. 2 (1992): 170.</w:t>
      </w:r>
    </w:p>
    <w:p>
      <w:r>
        <w:rPr>
          <w:vertAlign w:val="superscript"/>
        </w:rPr>
        <w:t xml:space="preserve">10. </w:t>
      </w:r>
      <w:r>
        <w:t xml:space="preserve">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r>
        <w:rPr>
          <w:vertAlign w:val="superscript"/>
        </w:rPr>
        <w:t xml:space="preserve">11. </w:t>
      </w:r>
      <w:r>
        <w:t xml:space="preserve">Kazuaki Tanahashi, </w:t>
      </w:r>
      <w:r>
        <w:rPr>
          <w:i/>
        </w:rPr>
        <w:t>The Heart Sutra: A Comprehensive Guide to the Classic of Mahayana Buddhism</w:t>
      </w:r>
      <w:r>
        <w:t xml:space="preserve"> (Boston: Shambhala, 2014), 147.</w:t>
      </w:r>
    </w:p>
    <w:p>
      <w:r>
        <w:rPr>
          <w:vertAlign w:val="superscript"/>
        </w:rPr>
        <w:t xml:space="preserve">12. </w:t>
      </w:r>
      <w:r>
        <w:t xml:space="preserve">The concept of "groundlessness as gift" is explored throughout Pema Chödrön's work, but see especially </w:t>
      </w:r>
      <w:r>
        <w:rPr>
          <w:i/>
        </w:rPr>
        <w:t>When Things Fall Apart: Heart Advice for Difficult Times</w:t>
      </w:r>
      <w:r>
        <w:t xml:space="preserve"> (Boston: Shambhala, 1997).</w:t>
      </w:r>
    </w:p>
    <w:p>
      <w:r>
        <w:rPr>
          <w:vertAlign w:val="superscript"/>
        </w:rPr>
        <w:t xml:space="preserve">13. </w:t>
      </w:r>
      <w:r>
        <w:t xml:space="preserve">Woods, </w:t>
      </w:r>
      <w:r>
        <w:rPr>
          <w:i/>
        </w:rPr>
        <w:t>Development Arrested</w:t>
      </w:r>
      <w:r>
        <w:t>, 25-29.</w:t>
      </w:r>
    </w:p>
    <w:p>
      <w:r>
        <w:rPr>
          <w:vertAlign w:val="superscript"/>
        </w:rPr>
        <w:t xml:space="preserve">14. </w:t>
      </w:r>
      <w:r>
        <w:t xml:space="preserve">Woods, </w:t>
      </w:r>
      <w:r>
        <w:rPr>
          <w:i/>
        </w:rPr>
        <w:t>Development Arrested</w:t>
      </w:r>
      <w:r>
        <w:t>, 25-29. The "Blues Block" serves as a crucial sociological anchor for this study, illustrating the structural forces that necessitate the Sūtra's ontological negations.</w:t>
      </w:r>
    </w:p>
    <w:p>
      <w:r>
        <w:rPr>
          <w:vertAlign w:val="superscript"/>
        </w:rPr>
        <w:t xml:space="preserve">15. </w:t>
      </w:r>
      <w:r>
        <w:t>This phrase is coined here to describe the tendency in white-dominant convert Buddhism to emphasize comfort and accessibility over the tradition's more challenging confrontations with groundlessness.</w:t>
      </w:r>
    </w:p>
    <w:p>
      <w:r>
        <w:rPr>
          <w:vertAlign w:val="superscript"/>
        </w:rPr>
        <w:t xml:space="preserve">16. </w:t>
      </w:r>
      <w:r>
        <w:t xml:space="preserve">Angela Y. Davis, </w:t>
      </w:r>
      <w:r>
        <w:rPr>
          <w:i/>
        </w:rPr>
        <w:t>Blues Legacies and Black Feminism: Gertrude "Ma" Rainey, Bessie Smith, and Billie Holiday</w:t>
      </w:r>
      <w:r>
        <w:t xml:space="preserve"> (New York: Vintage, 1999).</w:t>
      </w:r>
    </w:p>
    <w:p>
      <w:r>
        <w:rPr>
          <w:vertAlign w:val="superscript"/>
        </w:rPr>
        <w:t xml:space="preserve">17. </w:t>
      </w:r>
      <w:r>
        <w:t xml:space="preserve">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r>
        <w:rPr>
          <w:vertAlign w:val="superscript"/>
        </w:rPr>
        <w:t xml:space="preserve">18. </w:t>
      </w:r>
      <w:r>
        <w:t>This line is adapted from the author's experimental vernacular translation process, presented here not as authoritative text but as illustration.</w:t>
      </w:r>
    </w:p>
    <w:p>
      <w:r>
        <w:rPr>
          <w:vertAlign w:val="superscript"/>
        </w:rPr>
        <w:t xml:space="preserve">19. </w:t>
      </w:r>
      <w:r>
        <w:t xml:space="preserve">Xuanzang (玄奘, trans.), </w:t>
      </w:r>
      <w:r>
        <w:rPr>
          <w:i/>
        </w:rPr>
        <w:t>Prajñāpāramitā Hṛdaya Sūtra</w:t>
      </w:r>
      <w:r>
        <w:t xml:space="preserve"> (般若波羅蜜多心經), </w:t>
      </w:r>
      <w:r>
        <w:rPr>
          <w:i/>
        </w:rPr>
        <w:t>Taishō Shinshū Daizōkyō</w:t>
      </w:r>
      <w:r>
        <w:t xml:space="preserve"> 大正新脩大藏經, ed. Takakusu Junjirō and Watanabe Kaigyoku, vol. 8, no. 251 (Tokyo: Taishō Shinshū Daizōkyō Kankōkai, 1924-1932). All English translations of the Heart Sūtra in this article are my own unless otherwise noted.</w:t>
      </w:r>
    </w:p>
    <w:p>
      <w:r>
        <w:rPr>
          <w:vertAlign w:val="superscript"/>
        </w:rPr>
        <w:t xml:space="preserve">20. </w:t>
      </w:r>
      <w:r>
        <w:t xml:space="preserve">Ralph Ellison, </w:t>
      </w:r>
      <w:r>
        <w:rPr>
          <w:i/>
        </w:rPr>
        <w:t>Invisible Man</w:t>
      </w:r>
      <w:r>
        <w:t xml:space="preserve"> (New York: Random House, 1952).</w:t>
      </w:r>
    </w:p>
    <w:p>
      <w:r>
        <w:rPr>
          <w:vertAlign w:val="superscript"/>
        </w:rPr>
        <w:t xml:space="preserve">21. </w:t>
      </w:r>
      <w:r>
        <w:t xml:space="preserve">Orlando Patterson, </w:t>
      </w:r>
      <w:r>
        <w:rPr>
          <w:i/>
        </w:rPr>
        <w:t>Slavery and Social Death: A Comparative Study</w:t>
      </w:r>
      <w:r>
        <w:t xml:space="preserve"> (Cambridge: Harvard University Press, 1982), 5.</w:t>
      </w:r>
    </w:p>
    <w:p>
      <w:r>
        <w:rPr>
          <w:vertAlign w:val="superscript"/>
        </w:rPr>
        <w:t xml:space="preserve">22. </w:t>
      </w:r>
      <w:r>
        <w:t>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vertAlign w:val="superscript"/>
        </w:rPr>
        <w:t xml:space="preserve">23. </w:t>
      </w:r>
      <w:r/>
      <w:r>
        <w:rPr>
          <w:i/>
        </w:rPr>
        <w:t>Heart Sutra Reborn</w:t>
      </w:r>
      <w:r>
        <w:t>, "Endnotes" section.</w:t>
      </w:r>
    </w:p>
    <w:p>
      <w:r>
        <w:rPr>
          <w:vertAlign w:val="superscript"/>
        </w:rPr>
        <w:t xml:space="preserve">24.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25. </w:t>
      </w:r>
      <w:r>
        <w:t xml:space="preserve">Manuel, </w:t>
      </w:r>
      <w:r>
        <w:rPr>
          <w:i/>
        </w:rPr>
        <w:t>The Way of Tenderness</w:t>
      </w:r>
      <w:r>
        <w:t>, 47-52.</w:t>
      </w:r>
    </w:p>
    <w:p>
      <w:r>
        <w:rPr>
          <w:vertAlign w:val="superscript"/>
        </w:rPr>
        <w:t xml:space="preserve">26. </w:t>
      </w:r>
      <w:r>
        <w:t xml:space="preserve">Thich Nhat Hanh, </w:t>
      </w:r>
      <w:r>
        <w:rPr>
          <w:i/>
        </w:rPr>
        <w:t>The Heart of Understanding: Commentaries on the Prajnaparamita Heart Sutra</w:t>
      </w:r>
      <w:r>
        <w:t xml:space="preserve"> (Berkeley: Parallax Press, 1988), 10.</w:t>
      </w:r>
    </w:p>
    <w:p>
      <w:r>
        <w:rPr>
          <w:vertAlign w:val="superscript"/>
        </w:rPr>
        <w:t xml:space="preserve">27. </w:t>
      </w:r>
      <w:r>
        <w:t xml:space="preserve">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r>
        <w:rPr>
          <w:vertAlign w:val="superscript"/>
        </w:rPr>
        <w:t xml:space="preserve">28. </w:t>
      </w:r>
      <w:r>
        <w:t xml:space="preserve">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r>
        <w:rPr>
          <w:vertAlign w:val="superscript"/>
        </w:rPr>
        <w:t xml:space="preserve">29. </w:t>
      </w:r>
      <w:r>
        <w:t xml:space="preserve">Houston A. Baker, </w:t>
      </w:r>
      <w:r>
        <w:rPr>
          <w:i/>
        </w:rPr>
        <w:t>Blues, Ideology, and Afro-American Literature: A Vernacular Theory</w:t>
      </w:r>
      <w:r>
        <w:t xml:space="preserve"> (Chicago: University of Chicago Press, 1987), 3-14.</w:t>
      </w:r>
    </w:p>
    <w:p>
      <w:r>
        <w:rPr>
          <w:vertAlign w:val="superscript"/>
        </w:rPr>
        <w:t xml:space="preserve">31. </w:t>
      </w:r>
      <w:r>
        <w:t xml:space="preserve">Albert Murray, </w:t>
      </w:r>
      <w:r>
        <w:rPr>
          <w:i/>
        </w:rPr>
        <w:t>Stomping the Blues</w:t>
      </w:r>
      <w:r>
        <w:t xml:space="preserve"> (United States: University of Minnesota Press, 2017), 17.</w:t>
      </w:r>
    </w:p>
    <w:p>
      <w:r>
        <w:rPr>
          <w:vertAlign w:val="superscript"/>
        </w:rPr>
        <w:t xml:space="preserve">32. </w:t>
      </w:r>
      <w:r>
        <w:t xml:space="preserve">Howard Thurman, </w:t>
      </w:r>
      <w:r>
        <w:rPr>
          <w:i/>
        </w:rPr>
        <w:t>Deep River and The Negro Spiritual Speaks of Life and Death</w:t>
      </w:r>
      <w:r>
        <w:t xml:space="preserve"> (Richmond, IN: Friends United Press, 1975).</w:t>
      </w:r>
    </w:p>
    <w:p>
      <w:r>
        <w:rPr>
          <w:vertAlign w:val="superscript"/>
        </w:rPr>
        <w:t xml:space="preserve">33. </w:t>
      </w:r>
      <w:r>
        <w:t xml:space="preserve">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rPr>
          <w:vertAlign w:val="superscript"/>
        </w:rPr>
        <w:t xml:space="preserve">34. </w:t>
      </w:r>
      <w:r>
        <w:t xml:space="preserve">Pamela Ayo Yetunde, </w:t>
      </w:r>
      <w:r>
        <w:rPr>
          <w:i/>
        </w:rPr>
        <w:t>Dearly Beloved: Prince, Spirituality, and This Thing Called Life</w:t>
      </w:r>
      <w:r>
        <w:t xml:space="preserve"> (United States: Broadleaf Books, 2025).</w:t>
      </w:r>
    </w:p>
    <w:p>
      <w:r>
        <w:rPr>
          <w:vertAlign w:val="superscript"/>
        </w:rPr>
        <w:t xml:space="preserve">35. </w:t>
      </w:r>
      <w:r>
        <w:t xml:space="preserve">James H. Cone, </w:t>
      </w:r>
      <w:r>
        <w:rPr>
          <w:i/>
        </w:rPr>
        <w:t>The Spirituals and the Blues: An Interpretation</w:t>
      </w:r>
      <w:r>
        <w:t xml:space="preserve"> (Maryknoll, NY: Orbis Books, 1991), 97-127.</w:t>
      </w:r>
    </w:p>
    <w:p>
      <w:r>
        <w:rPr>
          <w:vertAlign w:val="superscript"/>
        </w:rPr>
        <w:t xml:space="preserve">36. </w:t>
      </w:r>
      <w:r>
        <w:t xml:space="preserve">Stephen W. Porges, </w:t>
      </w:r>
      <w:r>
        <w:rPr>
          <w:i/>
        </w:rPr>
        <w:t>The Polyvagal Theory: Neurophysiological Foundations of Emotions, Attachment, Communication, and Self-Regulation</w:t>
      </w:r>
      <w:r>
        <w:t xml:space="preserve"> (New York: W. W. Norton, 2011). See especially chapters on the "social engagement system" and vagal tone regulation through vocalization.</w:t>
      </w:r>
    </w:p>
    <w:p>
      <w:r>
        <w:rPr>
          <w:vertAlign w:val="superscript"/>
        </w:rPr>
        <w:t xml:space="preserve">37. </w:t>
      </w:r>
      <w:r>
        <w:t xml:space="preserve">John Searle, "Minds, Brains, and Programs," </w:t>
      </w:r>
      <w:r>
        <w:rPr>
          <w:i/>
        </w:rPr>
        <w:t>Behavioral and Brain Sciences</w:t>
      </w:r>
      <w: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vertAlign w:val="superscript"/>
        </w:rPr>
        <w:t xml:space="preserve">38. </w:t>
      </w:r>
      <w:r>
        <w:t xml:space="preserve">Kamilah Majied, </w:t>
      </w:r>
      <w:r>
        <w:rPr>
          <w:i/>
        </w:rPr>
        <w:t>Joyfully Just: Black Wisdom and Buddhist Insights for Liberated Living</w:t>
      </w:r>
      <w:r>
        <w:t xml:space="preserve"> (New York: St. Martin's Publishing Group, 2024).</w:t>
      </w:r>
    </w:p>
    <w:p>
      <w:r>
        <w:rPr>
          <w:vertAlign w:val="superscript"/>
        </w:rPr>
        <w:t xml:space="preserve">40. </w:t>
      </w:r>
      <w:r>
        <w:t xml:space="preserve">Robin DiAngelo, </w:t>
      </w:r>
      <w:r>
        <w:rPr>
          <w:i/>
        </w:rPr>
        <w:t>White Fragility: Why It's So Hard for White People to Talk About Racism</w:t>
      </w:r>
      <w:r>
        <w:t xml:space="preserve"> (Boston: Beacon Press, 2018).</w:t>
      </w:r>
    </w:p>
    <w:p>
      <w:r>
        <w:rPr>
          <w:vertAlign w:val="superscript"/>
        </w:rPr>
        <w:t xml:space="preserve">43.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44. </w:t>
      </w:r>
      <w:r>
        <w:t xml:space="preserve">Christina Sharpe, </w:t>
      </w:r>
      <w:r>
        <w:rPr>
          <w:i/>
        </w:rPr>
        <w:t>In the Wake: On Blackness and Being</w:t>
      </w:r>
      <w:r>
        <w:t xml:space="preserve"> (Durham: Duke University Press, 2016), 17-22. Sharpe's concept of "wake work" describes the labor of living in the ongoing disaster of the transatlantic slave trade's aftermath.</w:t>
      </w:r>
    </w:p>
    <w:p>
      <w:r>
        <w:rPr>
          <w:vertAlign w:val="superscript"/>
        </w:rPr>
        <w:t xml:space="preserve">45. </w:t>
      </w:r>
      <w:r>
        <w:t xml:space="preserve">Fred Moten, </w:t>
      </w:r>
      <w:r>
        <w:rPr>
          <w:i/>
        </w:rPr>
        <w:t>In the Break: The Aesthetics of the Black Radical Tradition</w:t>
      </w:r>
      <w:r>
        <w:t xml:space="preserve"> (Minneapolis: University of Minnesota Press, 2003), 1-24. Moten theorizes the "break" as the site where Black aesthetic practice escapes the capture of both commodification and scientific objectification.</w:t>
      </w:r>
    </w:p>
    <w:p>
      <w:r>
        <w:rPr>
          <w:vertAlign w:val="superscript"/>
        </w:rPr>
        <w:t xml:space="preserve">46. </w:t>
      </w:r>
      <w:r>
        <w:t xml:space="preserve">Vincent L. Wimbush, ed., </w:t>
      </w:r>
      <w:r>
        <w:rPr>
          <w:i/>
        </w:rPr>
        <w:t>African Americans and the Bible: Sacred Texts and Social Textures</w:t>
      </w:r>
      <w:r>
        <w:t xml:space="preserve"> (New York: Continuum, 2000), 1-43. Wimbush's concept of "scripturalization" describes how marginalized communities create meaning through reading practices that exceed or defy the boundaries set by dominant traditions.</w:t>
      </w:r>
    </w:p>
    <w:p>
      <w:r>
        <w:rPr>
          <w:vertAlign w:val="superscript"/>
        </w:rPr>
        <w:t xml:space="preserve">47. </w:t>
      </w:r>
      <w:r>
        <w:t>On the two obscurations (</w:t>
      </w:r>
      <w:r>
        <w:rPr>
          <w:i/>
        </w:rPr>
        <w:t>āvaraṇa-dvaya</w:t>
      </w:r>
      <w:r>
        <w:t xml:space="preserve">) in Tibetan exegesis, see Haribhadra's </w:t>
      </w:r>
      <w:r>
        <w:rPr>
          <w:i/>
        </w:rPr>
        <w:t>Abhisamayālaṃkārāloka</w:t>
      </w:r>
      <w:r>
        <w:t xml:space="preserve">, preserved in the Tibetan </w:t>
      </w:r>
      <w:r>
        <w:rPr>
          <w:i/>
        </w:rPr>
        <w:t>tengyur</w:t>
      </w:r>
      <w:r>
        <w:t xml:space="preserve">. For a comprehensive survey of commentarial approaches to </w:t>
      </w:r>
      <w:r>
        <w:rPr>
          <w:i/>
        </w:rPr>
        <w:t>śūnyatā</w:t>
      </w:r>
      <w:r>
        <w:t xml:space="preserve"> in the Heart Sūtra tradition, see Donald S. Lopez Jr., </w:t>
      </w:r>
      <w:r>
        <w:rPr>
          <w:i/>
        </w:rPr>
        <w:t>Elaborations on Emptiness: Uses of the Heart Sutra</w:t>
      </w:r>
      <w:r>
        <w:t xml:space="preserve"> (Princeton: Princeton University Press, 1996), 85-120.</w:t>
      </w:r>
    </w:p>
    <w:p>
      <w:r>
        <w:rPr>
          <w:vertAlign w:val="superscript"/>
        </w:rPr>
        <w:t xml:space="preserve">48. </w:t>
      </w:r>
      <w:r>
        <w:t xml:space="preserve">Jayarava Attwood, "The Heart Sūtra as Oral Epitome," </w:t>
      </w:r>
      <w:r>
        <w:rPr>
          <w:i/>
        </w:rPr>
        <w:t>Journal of the Oxford Centre for Buddhist Studies</w:t>
      </w:r>
      <w:r>
        <w:t xml:space="preserve"> 12 (2017): 15.</w:t>
      </w:r>
    </w:p>
    <w:p>
      <w:r>
        <w:rPr>
          <w:vertAlign w:val="superscript"/>
        </w:rPr>
        <w:t xml:space="preserve">49. </w:t>
      </w:r>
      <w:r>
        <w:t xml:space="preserve">John R. McRae, "Chanting the Heart Sutra: Ritual Space and the Transition of Wisdom in East Asia," </w:t>
      </w:r>
      <w:r>
        <w:rPr>
          <w:i/>
        </w:rPr>
        <w:t>Buddhist-Christian Studies</w:t>
      </w:r>
      <w:r>
        <w:t xml:space="preserve"> 8 (1988): 92.</w:t>
      </w:r>
    </w:p>
    <w:p>
      <w:r>
        <w:rPr>
          <w:vertAlign w:val="superscript"/>
        </w:rPr>
        <w:t xml:space="preserve">50. </w:t>
      </w:r>
      <w:r>
        <w:t xml:space="preserve">Red Pine, </w:t>
      </w:r>
      <w:r>
        <w:rPr>
          <w:i/>
        </w:rPr>
        <w:t>The Heart Sutra: The Womb of Buddhas</w:t>
      </w:r>
      <w:r>
        <w:t xml:space="preserve"> (Shoemaker &amp; Hoard, 2004), 45.</w:t>
      </w:r>
    </w:p>
    <w:p>
      <w:r>
        <w:rPr>
          <w:vertAlign w:val="superscript"/>
        </w:rPr>
        <w:t xml:space="preserve">51. </w:t>
      </w:r>
      <w:r>
        <w:t xml:space="preserve">Urs App, </w:t>
      </w:r>
      <w:r>
        <w:rPr>
          <w:i/>
        </w:rPr>
        <w:t>The Cult of Emptiness: The Western Discovery of Buddhist Thought and the Invention of Orientalism</w:t>
      </w:r>
      <w:r>
        <w:t xml:space="preserve"> (Rorschach: University Media, 2012), 22-45.</w:t>
      </w:r>
    </w:p>
    <w:p>
      <w:r>
        <w:rPr>
          <w:vertAlign w:val="superscript"/>
        </w:rPr>
        <w:t xml:space="preserve">52. </w:t>
      </w:r>
      <w:r>
        <w:t xml:space="preserve">Samuel Beal, </w:t>
      </w:r>
      <w:r>
        <w:rPr>
          <w:i/>
        </w:rPr>
        <w:t>Catena of Buddhist Scriptures from the Chinese</w:t>
      </w:r>
      <w:r>
        <w:t xml:space="preserve"> (London: Trubner &amp; Co., 1871), 282-285.</w:t>
      </w:r>
    </w:p>
    <w:p>
      <w:r>
        <w:rPr>
          <w:vertAlign w:val="superscript"/>
        </w:rPr>
        <w:t xml:space="preserve">53. </w:t>
      </w:r>
      <w:r>
        <w:t xml:space="preserve">F. Max Müller, </w:t>
      </w:r>
      <w:r>
        <w:rPr>
          <w:i/>
        </w:rPr>
        <w:t>The Sacred Books of the East, Vol. XLIX: Buddhist Mahayana Texts</w:t>
      </w:r>
      <w:r>
        <w:t xml:space="preserve"> (Oxford: Clarendon Press, 1894), 145-154.</w:t>
      </w:r>
    </w:p>
    <w:p>
      <w:r>
        <w:rPr>
          <w:vertAlign w:val="superscript"/>
        </w:rPr>
        <w:t xml:space="preserve">54. </w:t>
      </w:r>
      <w:r>
        <w:t xml:space="preserve">Allen Ginsberg, </w:t>
      </w:r>
      <w:r>
        <w:rPr>
          <w:i/>
        </w:rPr>
        <w:t>The Fall of America: Poems of These States, 1965-1971</w:t>
      </w:r>
      <w:r>
        <w:t xml:space="preserve"> (San Francisco: City Lights Books, 1973), 164-165.</w:t>
      </w:r>
    </w:p>
    <w:p>
      <w:r>
        <w:rPr>
          <w:vertAlign w:val="superscript"/>
        </w:rPr>
        <w:t xml:space="preserve">55. </w:t>
      </w:r>
      <w:r>
        <w:t xml:space="preserve">Donald S. Lopez, Jr., </w:t>
      </w:r>
      <w:r>
        <w:rPr>
          <w:i/>
        </w:rPr>
        <w:t>The Scientific Buddha: His Short and Happy Life</w:t>
      </w:r>
      <w:r>
        <w:t xml:space="preserve"> (Princeton: Princeton University Press, 2012), 29-41.</w:t>
      </w:r>
    </w:p>
    <w:p>
      <w:r>
        <w:rPr>
          <w:vertAlign w:val="superscript"/>
        </w:rPr>
        <w:t xml:space="preserve">56. </w:t>
      </w:r>
      <w:r>
        <w:t xml:space="preserve">David L. McMahan, </w:t>
      </w:r>
      <w:r>
        <w:rPr>
          <w:i/>
        </w:rPr>
        <w:t>The Making of Buddhist Modernism</w:t>
      </w:r>
      <w:r>
        <w:t xml:space="preserve"> (Oxford: Oxford University Press, 2008), 149-182.</w:t>
      </w:r>
    </w:p>
    <w:p/>
    <w:p>
      <w:pPr>
        <w:jc w:val="right"/>
      </w:pPr>
      <w:r/>
      <w:r>
        <w:rPr>
          <w:b/>
        </w:rPr>
        <w:t>Word Count:</w:t>
      </w:r>
      <w:r>
        <w:t xml:space="preserve"> 8,200 words (approximately)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