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E781" w14:textId="77777777" w:rsidR="003F7586" w:rsidRDefault="009A5356">
      <w:pPr>
        <w:pStyle w:val="Heading1"/>
        <w:jc w:val="center"/>
      </w:pPr>
      <w:r>
        <w:t>Response to Reviewers</w:t>
      </w:r>
    </w:p>
    <w:p w14:paraId="7AA8185A" w14:textId="77777777" w:rsidR="003F7586" w:rsidRDefault="009A5356">
      <w:r>
        <w:rPr>
          <w:b/>
        </w:rPr>
        <w:t>Manuscript ID:</w:t>
      </w:r>
      <w:r>
        <w:t xml:space="preserve"> JOAR-D-25-00052</w:t>
      </w:r>
    </w:p>
    <w:p w14:paraId="1DBB2265" w14:textId="77777777" w:rsidR="003F7586" w:rsidRDefault="009A5356">
      <w:r>
        <w:rPr>
          <w:b/>
        </w:rPr>
        <w:t>Title:</w:t>
      </w:r>
      <w:r>
        <w:t xml:space="preserve"> Hellhounds and the Void: The Heart Sūtra as Survival Technology in a Blues Epistemology</w:t>
      </w:r>
    </w:p>
    <w:p w14:paraId="2F232D2C" w14:textId="77777777" w:rsidR="003F7586" w:rsidRDefault="009A5356">
      <w:r>
        <w:rPr>
          <w:b/>
        </w:rPr>
        <w:t>Author:</w:t>
      </w:r>
      <w:r>
        <w:t xml:space="preserve"> William Altig</w:t>
      </w:r>
    </w:p>
    <w:p w14:paraId="7388B877" w14:textId="77777777" w:rsidR="003F7586" w:rsidRDefault="003F7586"/>
    <w:p w14:paraId="5F199202" w14:textId="77777777" w:rsidR="003F7586" w:rsidRDefault="009A5356">
      <w:pPr>
        <w:jc w:val="center"/>
      </w:pPr>
      <w:r>
        <w:t>***</w:t>
      </w:r>
    </w:p>
    <w:p w14:paraId="73033C67" w14:textId="77777777" w:rsidR="003F7586" w:rsidRDefault="003F7586"/>
    <w:p w14:paraId="5E3127EA" w14:textId="77777777" w:rsidR="003F7586" w:rsidRDefault="009A5356">
      <w:r>
        <w:t>Dear Editorial Team and Reviewers,</w:t>
      </w:r>
    </w:p>
    <w:p w14:paraId="1ED51673" w14:textId="77777777" w:rsidR="003F7586" w:rsidRDefault="003F7586"/>
    <w:p w14:paraId="6FCAF677" w14:textId="77777777" w:rsidR="003F7586" w:rsidRDefault="009A5356">
      <w:r>
        <w:t>I am profoundly grateful for the opportunity to revise this manuscript. The reviewers’ feedback—particularly the rigorous philological and methodological critique from Reviewer 2—has been instrumental in transforming this piece from a speculative essay into a disciplined argument. I have taken every comment seriously and have undertaken a comprehensive restructuring of the article.</w:t>
      </w:r>
    </w:p>
    <w:p w14:paraId="585E3860" w14:textId="77777777" w:rsidR="003F7586" w:rsidRDefault="003F7586"/>
    <w:p w14:paraId="31A5B289" w14:textId="77777777" w:rsidR="003F7586" w:rsidRDefault="009A5356">
      <w:r>
        <w:t>Below is a detailed account of the revisions, organized by the specific concerns raised.</w:t>
      </w:r>
    </w:p>
    <w:p w14:paraId="3CBF0EAE" w14:textId="77777777" w:rsidR="003F7586" w:rsidRDefault="003F7586"/>
    <w:p w14:paraId="08A30C0C" w14:textId="77777777" w:rsidR="003F7586" w:rsidRDefault="009A5356">
      <w:pPr>
        <w:jc w:val="center"/>
      </w:pPr>
      <w:r>
        <w:t>***</w:t>
      </w:r>
    </w:p>
    <w:p w14:paraId="7211CBDF" w14:textId="77777777" w:rsidR="003F7586" w:rsidRDefault="003F7586"/>
    <w:p w14:paraId="2FC72DF6" w14:textId="77777777" w:rsidR="003F7586" w:rsidRDefault="009A5356">
      <w:pPr>
        <w:pStyle w:val="Heading2"/>
      </w:pPr>
      <w:r>
        <w:t>Response to Reviewer 1</w:t>
      </w:r>
    </w:p>
    <w:p w14:paraId="073B0B44" w14:textId="77777777" w:rsidR="003F7586" w:rsidRDefault="003F7586"/>
    <w:p w14:paraId="7F2BDB75" w14:textId="77777777" w:rsidR="003F7586" w:rsidRDefault="009A5356">
      <w:r>
        <w:rPr>
          <w:b/>
        </w:rPr>
        <w:t>Reviewer 1</w:t>
      </w:r>
      <w:r>
        <w:t xml:space="preserve"> noted the "innovative" nature of the argument but correctly identified a lack of engagement with the broader field of Black Buddhist writing.</w:t>
      </w:r>
    </w:p>
    <w:p w14:paraId="508F1AB4" w14:textId="77777777" w:rsidR="003F7586" w:rsidRDefault="003F7586"/>
    <w:p w14:paraId="1D004755" w14:textId="77777777" w:rsidR="003F7586" w:rsidRDefault="009A5356">
      <w:pPr>
        <w:pStyle w:val="ListBullet"/>
      </w:pPr>
      <w:r>
        <w:rPr>
          <w:b/>
        </w:rPr>
        <w:t>Revision:</w:t>
      </w:r>
      <w:r>
        <w:t xml:space="preserve"> I have significantly expanded the bibliography and engagement with Black Buddhist scholarship. The revised manuscript now explicitly integrates:</w:t>
      </w:r>
    </w:p>
    <w:p w14:paraId="2EBD367C" w14:textId="77777777" w:rsidR="003F7586" w:rsidRDefault="009A5356">
      <w:pPr>
        <w:pStyle w:val="ListBullet"/>
      </w:pPr>
      <w:r>
        <w:rPr>
          <w:b/>
        </w:rPr>
        <w:lastRenderedPageBreak/>
        <w:t>Kamilah Majied</w:t>
      </w:r>
      <w:r>
        <w:t xml:space="preserve"> (</w:t>
      </w:r>
      <w:r>
        <w:rPr>
          <w:i/>
        </w:rPr>
        <w:t>Joyfully Just</w:t>
      </w:r>
      <w:r>
        <w:t>): Used to frame the "joyfully just" navigation of impermanence (Section 6).</w:t>
      </w:r>
    </w:p>
    <w:p w14:paraId="2BE00C23" w14:textId="77777777" w:rsidR="003F7586" w:rsidRDefault="009A5356">
      <w:pPr>
        <w:pStyle w:val="ListBullet"/>
      </w:pPr>
      <w:r>
        <w:rPr>
          <w:b/>
        </w:rPr>
        <w:t>Rima Vesely-Flad</w:t>
      </w:r>
      <w:r>
        <w:t xml:space="preserve"> (</w:t>
      </w:r>
      <w:r>
        <w:rPr>
          <w:i/>
        </w:rPr>
        <w:t>Black Buddhists and the Black Radical Tradition</w:t>
      </w:r>
      <w:r>
        <w:t>): Cited to support the critique of "spiritual bypassing" in white convert spaces (Section 6).</w:t>
      </w:r>
    </w:p>
    <w:p w14:paraId="4D3E736E" w14:textId="77777777" w:rsidR="003F7586" w:rsidRDefault="009A5356">
      <w:pPr>
        <w:pStyle w:val="ListBullet"/>
      </w:pPr>
      <w:r>
        <w:rPr>
          <w:b/>
        </w:rPr>
        <w:t>Zenju Earthlyn Manuel</w:t>
      </w:r>
      <w:r>
        <w:t xml:space="preserve"> (</w:t>
      </w:r>
      <w:r>
        <w:rPr>
          <w:i/>
        </w:rPr>
        <w:t>The Way of Tenderness</w:t>
      </w:r>
      <w:r>
        <w:t>): Her work now frames the discussion of "embodied emptiness" (Sections 1 &amp; 6).</w:t>
      </w:r>
    </w:p>
    <w:p w14:paraId="6FDF1F32" w14:textId="77777777" w:rsidR="003F7586" w:rsidRDefault="009A5356">
      <w:pPr>
        <w:pStyle w:val="ListBullet"/>
      </w:pPr>
      <w:r>
        <w:rPr>
          <w:b/>
        </w:rPr>
        <w:t>Ralph H. Craig III</w:t>
      </w:r>
      <w:r>
        <w:t xml:space="preserve"> (</w:t>
      </w:r>
      <w:r>
        <w:rPr>
          <w:i/>
        </w:rPr>
        <w:t>Dancing in My Dreams</w:t>
      </w:r>
      <w:r>
        <w:t>): His concept of "sonic liturgy" is now central to my reading of the Blues as ritual technology (Section 4).</w:t>
      </w:r>
    </w:p>
    <w:p w14:paraId="5DBCB201" w14:textId="77777777" w:rsidR="003F7586" w:rsidRDefault="009A5356">
      <w:pPr>
        <w:pStyle w:val="ListBullet"/>
      </w:pPr>
      <w:r>
        <w:rPr>
          <w:b/>
        </w:rPr>
        <w:t>Pamela Ayo Yetunde</w:t>
      </w:r>
      <w:r>
        <w:t xml:space="preserve"> (</w:t>
      </w:r>
      <w:r>
        <w:rPr>
          <w:i/>
        </w:rPr>
        <w:t>Dearly Beloved</w:t>
      </w:r>
      <w:r>
        <w:t>): Cited to reinforce the connection between musical performance and spiritual resilience (Section 4).</w:t>
      </w:r>
    </w:p>
    <w:p w14:paraId="2B05BF55" w14:textId="77777777" w:rsidR="003F7586" w:rsidRDefault="003F7586"/>
    <w:p w14:paraId="1689FA18" w14:textId="77777777" w:rsidR="003F7586" w:rsidRDefault="009A5356">
      <w:pPr>
        <w:jc w:val="center"/>
      </w:pPr>
      <w:r>
        <w:t>***</w:t>
      </w:r>
    </w:p>
    <w:p w14:paraId="464C38DE" w14:textId="77777777" w:rsidR="003F7586" w:rsidRDefault="003F7586"/>
    <w:p w14:paraId="752E87CB" w14:textId="77777777" w:rsidR="003F7586" w:rsidRDefault="009A5356">
      <w:pPr>
        <w:pStyle w:val="Heading2"/>
      </w:pPr>
      <w:r>
        <w:t>Response to Reviewer 2</w:t>
      </w:r>
    </w:p>
    <w:p w14:paraId="151C6D36" w14:textId="77777777" w:rsidR="003F7586" w:rsidRDefault="003F7586"/>
    <w:p w14:paraId="7E966AD5" w14:textId="77777777" w:rsidR="003F7586" w:rsidRDefault="009A5356">
      <w:r>
        <w:rPr>
          <w:b/>
        </w:rPr>
        <w:t>Reviewer 2</w:t>
      </w:r>
      <w:r>
        <w:t xml:space="preserve"> offered a substantial and necessary critique of the manuscript's philological precision, source usage, and interpretive framing. I have addressed these "fatal flaws" directly.</w:t>
      </w:r>
    </w:p>
    <w:p w14:paraId="6B8D72C0" w14:textId="77777777" w:rsidR="003F7586" w:rsidRDefault="003F7586"/>
    <w:p w14:paraId="2C7815E1" w14:textId="77777777" w:rsidR="003F7586" w:rsidRDefault="009A5356">
      <w:pPr>
        <w:pStyle w:val="Heading3"/>
      </w:pPr>
      <w:r>
        <w:t>1. The "Spurious Source" Issue (Self-Citation)</w:t>
      </w:r>
    </w:p>
    <w:p w14:paraId="15EC2265" w14:textId="77777777" w:rsidR="003F7586" w:rsidRDefault="009A5356">
      <w:r>
        <w:rPr>
          <w:b/>
        </w:rPr>
        <w:t>Critique:</w:t>
      </w:r>
      <w:r>
        <w:t xml:space="preserve"> The reviewer rightly flagged the use of my own "Heart Sutra Reborn" as a problematic source, noting it lacks hermeneutical authority.</w:t>
      </w:r>
    </w:p>
    <w:p w14:paraId="1EF04560" w14:textId="77777777" w:rsidR="003F7586" w:rsidRDefault="009A5356">
      <w:pPr>
        <w:pStyle w:val="ListBullet"/>
      </w:pPr>
      <w:r>
        <w:rPr>
          <w:b/>
        </w:rPr>
        <w:t>Revision:</w:t>
      </w:r>
      <w:r>
        <w:t xml:space="preserve"> I have removed all treatment of the vernacular translation as an authoritative "source."</w:t>
      </w:r>
    </w:p>
    <w:p w14:paraId="02A22EB3" w14:textId="77777777" w:rsidR="003F7586" w:rsidRDefault="009A5356">
      <w:pPr>
        <w:pStyle w:val="ListBullet"/>
      </w:pPr>
      <w:r>
        <w:rPr>
          <w:b/>
        </w:rPr>
        <w:t>Correction:</w:t>
      </w:r>
      <w:r>
        <w:t xml:space="preserve"> In </w:t>
      </w:r>
      <w:r>
        <w:rPr>
          <w:b/>
        </w:rPr>
        <w:t>Section 1</w:t>
      </w:r>
      <w:r>
        <w:t xml:space="preserve"> and </w:t>
      </w:r>
      <w:r>
        <w:rPr>
          <w:b/>
        </w:rPr>
        <w:t>Footnote 18</w:t>
      </w:r>
      <w:r>
        <w:t xml:space="preserve">, I now frame the vernacular text explicitly as an </w:t>
      </w:r>
      <w:r>
        <w:rPr>
          <w:b/>
        </w:rPr>
        <w:t>"experimental process"</w:t>
      </w:r>
      <w:r>
        <w:t xml:space="preserve"> and a "heuristic device" used by the author to test the resilience of the Sūtra's logic in a new idiom. It is no longer cited as a primary text but presented as the </w:t>
      </w:r>
      <w:r>
        <w:rPr>
          <w:i/>
        </w:rPr>
        <w:t>object</w:t>
      </w:r>
      <w:r>
        <w:t xml:space="preserve"> of the inquiry.</w:t>
      </w:r>
    </w:p>
    <w:p w14:paraId="22E62CB2" w14:textId="77777777" w:rsidR="003F7586" w:rsidRDefault="003F7586"/>
    <w:p w14:paraId="734D6DD3" w14:textId="77777777" w:rsidR="003F7586" w:rsidRDefault="009A5356">
      <w:pPr>
        <w:pStyle w:val="Heading3"/>
      </w:pPr>
      <w:r>
        <w:t>2. Philological Errors &amp; Sanskrit Precision</w:t>
      </w:r>
    </w:p>
    <w:p w14:paraId="7C7B1B3B" w14:textId="77777777" w:rsidR="003F7586" w:rsidRDefault="009A5356">
      <w:r>
        <w:rPr>
          <w:b/>
        </w:rPr>
        <w:t>Critique:</w:t>
      </w:r>
      <w:r>
        <w:t xml:space="preserve"> The reviewer identified errors regarding </w:t>
      </w:r>
      <w:r>
        <w:rPr>
          <w:i/>
        </w:rPr>
        <w:t>ślokas</w:t>
      </w:r>
      <w:r>
        <w:t xml:space="preserve">, the term </w:t>
      </w:r>
      <w:r>
        <w:rPr>
          <w:i/>
        </w:rPr>
        <w:t>mahā-vyavadāna</w:t>
      </w:r>
      <w:r>
        <w:t>, and the text's history.</w:t>
      </w:r>
    </w:p>
    <w:p w14:paraId="19D08FB6" w14:textId="77777777" w:rsidR="003F7586" w:rsidRDefault="009A5356">
      <w:pPr>
        <w:pStyle w:val="ListBullet"/>
      </w:pPr>
      <w:r>
        <w:rPr>
          <w:b/>
        </w:rPr>
        <w:t>Revision:</w:t>
      </w:r>
    </w:p>
    <w:p w14:paraId="7125F488" w14:textId="77777777" w:rsidR="003F7586" w:rsidRDefault="009A5356">
      <w:pPr>
        <w:pStyle w:val="ListBullet"/>
      </w:pPr>
      <w:r>
        <w:rPr>
          <w:b/>
        </w:rPr>
        <w:t>Removed:</w:t>
      </w:r>
      <w:r>
        <w:t xml:space="preserve"> The incorrect reference to </w:t>
      </w:r>
      <w:r>
        <w:rPr>
          <w:i/>
        </w:rPr>
        <w:t>ślokas</w:t>
      </w:r>
      <w:r>
        <w:t xml:space="preserve"> (prose vs. verse) has been corrected.</w:t>
      </w:r>
    </w:p>
    <w:p w14:paraId="5823072E" w14:textId="77777777" w:rsidR="003F7586" w:rsidRDefault="009A5356">
      <w:pPr>
        <w:pStyle w:val="ListBullet"/>
      </w:pPr>
      <w:r>
        <w:rPr>
          <w:b/>
        </w:rPr>
        <w:lastRenderedPageBreak/>
        <w:t>Removed:</w:t>
      </w:r>
      <w:r>
        <w:t xml:space="preserve"> The term </w:t>
      </w:r>
      <w:r>
        <w:rPr>
          <w:i/>
        </w:rPr>
        <w:t>mahā-vyavadāna</w:t>
      </w:r>
      <w:r>
        <w:t xml:space="preserve"> (and its incorrect etymology) has been excised entirely.</w:t>
      </w:r>
    </w:p>
    <w:p w14:paraId="52D760A1" w14:textId="77777777" w:rsidR="003F7586" w:rsidRDefault="009A5356">
      <w:pPr>
        <w:pStyle w:val="ListBullet"/>
      </w:pPr>
      <w:r>
        <w:rPr>
          <w:b/>
        </w:rPr>
        <w:t>Added:</w:t>
      </w:r>
      <w:r>
        <w:t xml:space="preserve"> </w:t>
      </w:r>
      <w:r>
        <w:rPr>
          <w:b/>
        </w:rPr>
        <w:t>Section 2 ("The Heart Sūtra as Crisis Text")</w:t>
      </w:r>
      <w:r>
        <w:t xml:space="preserve"> now engages directly with </w:t>
      </w:r>
      <w:r>
        <w:rPr>
          <w:b/>
        </w:rPr>
        <w:t>Jan Nattier’s</w:t>
      </w:r>
      <w:r>
        <w:t xml:space="preserve"> apocryphon theory and </w:t>
      </w:r>
      <w:r>
        <w:rPr>
          <w:b/>
        </w:rPr>
        <w:t>Donald Lopez’s</w:t>
      </w:r>
      <w:r>
        <w:t xml:space="preserve"> commentary history to ground the text's provenance. I explicitly adopt Nattier’s theory of the text as a "Chinese digest," which methodologically supports my reading of it as a site of "creative bricolage" (Section 8).</w:t>
      </w:r>
    </w:p>
    <w:p w14:paraId="2BA2D010" w14:textId="77777777" w:rsidR="003F7586" w:rsidRDefault="003F7586"/>
    <w:p w14:paraId="2014CBE8" w14:textId="77777777" w:rsidR="003F7586" w:rsidRDefault="009A5356">
      <w:pPr>
        <w:pStyle w:val="Heading3"/>
      </w:pPr>
      <w:r>
        <w:t>3. The "Ritual Background Noise" Orientalism</w:t>
      </w:r>
    </w:p>
    <w:p w14:paraId="58DF51CE" w14:textId="77777777" w:rsidR="003F7586" w:rsidRDefault="009A5356">
      <w:r>
        <w:rPr>
          <w:b/>
        </w:rPr>
        <w:t>Critique:</w:t>
      </w:r>
      <w:r>
        <w:t xml:space="preserve"> The reviewer correctly flagged the phrase "ritual background noise" as "thinly veiled orientalism."</w:t>
      </w:r>
    </w:p>
    <w:p w14:paraId="0A523377" w14:textId="77777777" w:rsidR="003F7586" w:rsidRDefault="009A5356">
      <w:pPr>
        <w:pStyle w:val="ListBullet"/>
      </w:pPr>
      <w:r>
        <w:rPr>
          <w:b/>
        </w:rPr>
        <w:t>Revision:</w:t>
      </w:r>
      <w:r>
        <w:t xml:space="preserve"> I have </w:t>
      </w:r>
      <w:r>
        <w:rPr>
          <w:b/>
        </w:rPr>
        <w:t>deleted this phrase and the entire paragraph</w:t>
      </w:r>
      <w:r>
        <w:t>. I accept this critique unequivocally. The revised manuscript acknowledges the rich and active commentarial tradition in East Asia (citing McRae and others) rather than dismissing it.</w:t>
      </w:r>
    </w:p>
    <w:p w14:paraId="0E8D17BA" w14:textId="77777777" w:rsidR="003F7586" w:rsidRDefault="003F7586"/>
    <w:p w14:paraId="55D3F696" w14:textId="77777777" w:rsidR="003F7586" w:rsidRDefault="009A5356">
      <w:pPr>
        <w:pStyle w:val="Heading3"/>
      </w:pPr>
      <w:r>
        <w:t>4. Madhyamaka &amp; Ontology</w:t>
      </w:r>
    </w:p>
    <w:p w14:paraId="3FA7C54A" w14:textId="77777777" w:rsidR="003F7586" w:rsidRDefault="009A5356">
      <w:r>
        <w:rPr>
          <w:b/>
        </w:rPr>
        <w:t>Critique:</w:t>
      </w:r>
      <w:r>
        <w:t xml:space="preserve"> The reviewer noted a lack of engagement with Madhyamaka philosophy and the ontological status of </w:t>
      </w:r>
      <w:r>
        <w:rPr>
          <w:i/>
        </w:rPr>
        <w:t>śūnyatā</w:t>
      </w:r>
      <w:r>
        <w:t>.</w:t>
      </w:r>
    </w:p>
    <w:p w14:paraId="224877D5" w14:textId="77777777" w:rsidR="003F7586" w:rsidRDefault="009A5356">
      <w:pPr>
        <w:pStyle w:val="ListBullet"/>
      </w:pPr>
      <w:r>
        <w:rPr>
          <w:b/>
        </w:rPr>
        <w:t>Revision:</w:t>
      </w:r>
      <w:r>
        <w:t xml:space="preserve"> I have added a new subsection: </w:t>
      </w:r>
      <w:r>
        <w:rPr>
          <w:b/>
        </w:rPr>
        <w:t>"The Madhyamaka Anchor" (Section 4)</w:t>
      </w:r>
      <w:r>
        <w:t>.</w:t>
      </w:r>
    </w:p>
    <w:p w14:paraId="5129F8F3" w14:textId="77777777" w:rsidR="003F7586" w:rsidRDefault="009A5356">
      <w:pPr>
        <w:pStyle w:val="ListBullet"/>
      </w:pPr>
      <w:r>
        <w:t>This section explicitly cites *</w:t>
      </w:r>
      <w:r>
        <w:rPr>
          <w:i/>
        </w:rPr>
        <w:t xml:space="preserve">Nāgārjuna’s </w:t>
      </w:r>
      <w:r>
        <w:t>Mūlamadhyamakakārikā*** (specifically the "Two Truths" doctrine in Chapter 24) to frame the Blues/Sūtra connection.</w:t>
      </w:r>
    </w:p>
    <w:p w14:paraId="5240628F" w14:textId="77777777" w:rsidR="003F7586" w:rsidRDefault="009A5356">
      <w:pPr>
        <w:pStyle w:val="ListBullet"/>
      </w:pPr>
      <w:r>
        <w:t>I define the mechanism of "survival" not as vague mysticism, but as the rigorous identification of the *</w:t>
      </w:r>
      <w:r>
        <w:rPr>
          <w:i/>
        </w:rPr>
        <w:t>"Object of Negation" (</w:t>
      </w:r>
      <w:r>
        <w:t>dgag bya</w:t>
      </w:r>
      <w:r>
        <w:rPr>
          <w:i/>
        </w:rPr>
        <w:t xml:space="preserve">): specifically, the </w:t>
      </w:r>
      <w:r>
        <w:t>reification* of the racialized self.</w:t>
      </w:r>
    </w:p>
    <w:p w14:paraId="0B11F174" w14:textId="77777777" w:rsidR="003F7586" w:rsidRDefault="003F7586"/>
    <w:p w14:paraId="4A689906" w14:textId="77777777" w:rsidR="003F7586" w:rsidRDefault="009A5356">
      <w:pPr>
        <w:pStyle w:val="Heading3"/>
      </w:pPr>
      <w:r>
        <w:t>5. Positionality &amp; The "White Savant" Trap</w:t>
      </w:r>
    </w:p>
    <w:p w14:paraId="29C369A0" w14:textId="77777777" w:rsidR="003F7586" w:rsidRDefault="009A5356">
      <w:r>
        <w:rPr>
          <w:b/>
        </w:rPr>
        <w:t>Critique:</w:t>
      </w:r>
      <w:r>
        <w:t xml:space="preserve"> The reviewer asked, "Does William Altig identify as Black?" and questioned the ethics of the comparative project.</w:t>
      </w:r>
    </w:p>
    <w:p w14:paraId="48B7EEEC" w14:textId="77777777" w:rsidR="003F7586" w:rsidRDefault="009A5356">
      <w:pPr>
        <w:pStyle w:val="ListBullet"/>
      </w:pPr>
      <w:r>
        <w:rPr>
          <w:b/>
        </w:rPr>
        <w:t>Revision:</w:t>
      </w:r>
      <w:r>
        <w:t xml:space="preserve"> I have rewritten </w:t>
      </w:r>
      <w:r>
        <w:rPr>
          <w:b/>
        </w:rPr>
        <w:t>Section 1</w:t>
      </w:r>
      <w:r>
        <w:t xml:space="preserve"> to be unmistakably clear: </w:t>
      </w:r>
      <w:r>
        <w:rPr>
          <w:i/>
        </w:rPr>
        <w:t>"I approach this as a white practitioner and independent scholar..."</w:t>
      </w:r>
    </w:p>
    <w:p w14:paraId="5355BEBB" w14:textId="77777777" w:rsidR="003F7586" w:rsidRDefault="009A5356">
      <w:pPr>
        <w:pStyle w:val="ListBullet"/>
      </w:pPr>
      <w:r>
        <w:rPr>
          <w:b/>
        </w:rPr>
        <w:t>Theoretical Shift:</w:t>
      </w:r>
      <w:r>
        <w:t xml:space="preserve"> I have replaced the poetic language of "being claimed by resonance" with the more rigorous framework of </w:t>
      </w:r>
      <w:r>
        <w:rPr>
          <w:b/>
        </w:rPr>
        <w:t>"Convergent Evolution."</w:t>
      </w:r>
      <w:r>
        <w:t xml:space="preserve"> I argue that the Heart Sūtra and the Blues are structurally similar not because of mysterious lineage, but because human communities under "ontological siege" independently evolve similar cognitive technologies to survive.</w:t>
      </w:r>
    </w:p>
    <w:p w14:paraId="1B82F476" w14:textId="77777777" w:rsidR="003F7586" w:rsidRDefault="003F7586"/>
    <w:p w14:paraId="09E91542" w14:textId="77777777" w:rsidR="003F7586" w:rsidRDefault="009A5356">
      <w:pPr>
        <w:pStyle w:val="Heading3"/>
      </w:pPr>
      <w:r>
        <w:t>6. The "AI" Distraction</w:t>
      </w:r>
    </w:p>
    <w:p w14:paraId="4DE135E7" w14:textId="77777777" w:rsidR="003F7586" w:rsidRDefault="009A5356">
      <w:r>
        <w:rPr>
          <w:b/>
        </w:rPr>
        <w:t>Critique:</w:t>
      </w:r>
      <w:r>
        <w:t xml:space="preserve"> While not explicitly flagged by Reviewer 2, the previous draft's section on AI translation ("The Chinese Room") contributed to the lack of focus and rigor.</w:t>
      </w:r>
    </w:p>
    <w:p w14:paraId="53DDD035" w14:textId="77777777" w:rsidR="003F7586" w:rsidRDefault="009A5356">
      <w:pPr>
        <w:pStyle w:val="ListBullet"/>
      </w:pPr>
      <w:r>
        <w:rPr>
          <w:b/>
        </w:rPr>
        <w:t>Revision:</w:t>
      </w:r>
      <w:r>
        <w:t xml:space="preserve"> I have </w:t>
      </w:r>
      <w:r>
        <w:rPr>
          <w:b/>
        </w:rPr>
        <w:t>deleted the entire AI section</w:t>
      </w:r>
      <w:r>
        <w:t>. The paper now focuses exclusively on the comparative theology of the Heart Sūtra and the Blues.</w:t>
      </w:r>
    </w:p>
    <w:p w14:paraId="7F8973AA" w14:textId="77777777" w:rsidR="003F7586" w:rsidRDefault="003F7586"/>
    <w:p w14:paraId="57274EF8" w14:textId="77777777" w:rsidR="003F7586" w:rsidRDefault="009A5356">
      <w:pPr>
        <w:jc w:val="center"/>
      </w:pPr>
      <w:r>
        <w:t>***</w:t>
      </w:r>
    </w:p>
    <w:p w14:paraId="1A0D76DC" w14:textId="77777777" w:rsidR="003F7586" w:rsidRDefault="003F7586"/>
    <w:p w14:paraId="11958594" w14:textId="77777777" w:rsidR="003F7586" w:rsidRDefault="009A5356">
      <w:pPr>
        <w:pStyle w:val="Heading2"/>
      </w:pPr>
      <w:r>
        <w:t>Conclusion</w:t>
      </w:r>
    </w:p>
    <w:p w14:paraId="30324653" w14:textId="77777777" w:rsidR="003F7586" w:rsidRDefault="003F7586"/>
    <w:p w14:paraId="13C0A38A" w14:textId="77777777" w:rsidR="003F7586" w:rsidRDefault="009A5356">
      <w:r>
        <w:t xml:space="preserve">The resulting manuscript is shorter, tighter, and philologically safer. It no longer attempts to "validate" a self-published translation but uses that translation experiment as a lens to explore a genuine theoretical question: </w:t>
      </w:r>
      <w:r>
        <w:rPr>
          <w:i/>
        </w:rPr>
        <w:t>How does emptiness function as survival technology?</w:t>
      </w:r>
    </w:p>
    <w:p w14:paraId="604EA040" w14:textId="77777777" w:rsidR="003F7586" w:rsidRDefault="003F7586"/>
    <w:p w14:paraId="43669D27" w14:textId="77777777" w:rsidR="003F7586" w:rsidRDefault="009A5356">
      <w:r>
        <w:t xml:space="preserve">I believe these revisions honor the rigor of the </w:t>
      </w:r>
      <w:r>
        <w:rPr>
          <w:i/>
        </w:rPr>
        <w:t>Journal of Africana Religions</w:t>
      </w:r>
      <w:r>
        <w:t xml:space="preserve"> while preserving the article's core contribution to the field.</w:t>
      </w:r>
    </w:p>
    <w:p w14:paraId="52A7BC34" w14:textId="77777777" w:rsidR="003F7586" w:rsidRDefault="003F7586"/>
    <w:p w14:paraId="07EC0B55" w14:textId="77777777" w:rsidR="003F7586" w:rsidRDefault="009A5356">
      <w:r>
        <w:t>Sincerely,</w:t>
      </w:r>
    </w:p>
    <w:p w14:paraId="057B79B3" w14:textId="77777777" w:rsidR="003F7586" w:rsidRDefault="003F7586"/>
    <w:p w14:paraId="6CF875E2" w14:textId="77777777" w:rsidR="003F7586" w:rsidRDefault="009A5356">
      <w:r>
        <w:rPr>
          <w:b/>
        </w:rPr>
        <w:t>William Altig</w:t>
      </w:r>
    </w:p>
    <w:p w14:paraId="12CF3F3D" w14:textId="77777777" w:rsidR="003F7586" w:rsidRDefault="003F7586"/>
    <w:sectPr w:rsidR="003F75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934718">
    <w:abstractNumId w:val="8"/>
  </w:num>
  <w:num w:numId="2" w16cid:durableId="1106267930">
    <w:abstractNumId w:val="6"/>
  </w:num>
  <w:num w:numId="3" w16cid:durableId="840513513">
    <w:abstractNumId w:val="5"/>
  </w:num>
  <w:num w:numId="4" w16cid:durableId="350648158">
    <w:abstractNumId w:val="4"/>
  </w:num>
  <w:num w:numId="5" w16cid:durableId="1786851419">
    <w:abstractNumId w:val="7"/>
  </w:num>
  <w:num w:numId="6" w16cid:durableId="908345129">
    <w:abstractNumId w:val="3"/>
  </w:num>
  <w:num w:numId="7" w16cid:durableId="850336143">
    <w:abstractNumId w:val="2"/>
  </w:num>
  <w:num w:numId="8" w16cid:durableId="1127898476">
    <w:abstractNumId w:val="1"/>
  </w:num>
  <w:num w:numId="9" w16cid:durableId="140799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8E"/>
    <w:rsid w:val="0029639D"/>
    <w:rsid w:val="00326F90"/>
    <w:rsid w:val="003F7586"/>
    <w:rsid w:val="009A5356"/>
    <w:rsid w:val="00AA1D8D"/>
    <w:rsid w:val="00B47730"/>
    <w:rsid w:val="00B85982"/>
    <w:rsid w:val="00CB0664"/>
    <w:rsid w:val="00E56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DBDBA"/>
  <w14:defaultImageDpi w14:val="300"/>
  <w15:docId w15:val="{6E830195-A368-F74F-B999-9F4E5087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829</Words>
  <Characters>4812</Characters>
  <Application>Microsoft Office Word</Application>
  <DocSecurity>0</DocSecurity>
  <Lines>117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William Altig</cp:lastModifiedBy>
  <cp:revision>2</cp:revision>
  <dcterms:created xsi:type="dcterms:W3CDTF">2013-12-23T23:15:00Z</dcterms:created>
  <dcterms:modified xsi:type="dcterms:W3CDTF">2026-02-01T20:19:00Z</dcterms:modified>
  <cp:category/>
</cp:coreProperties>
</file>