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102fc86c1177fbbace15b71cf7739fd4e5115a3"/>
    <w:p>
      <w:pPr>
        <w:pStyle w:val="Heading1"/>
      </w:pPr>
      <w:r>
        <w:t xml:space="preserve">DeepSeek Auditor Report: Lotus Sutra Blues Translation</w:t>
      </w:r>
    </w:p>
    <w:bookmarkStart w:id="9" w:name="complete-28-chapter-verification-audit"/>
    <w:p>
      <w:pPr>
        <w:pStyle w:val="Heading2"/>
      </w:pPr>
      <w:r>
        <w:t xml:space="preserve">Complete 28-Chapter Verification Audit</w:t>
      </w:r>
    </w:p>
    <w:p>
      <w:pPr>
        <w:pStyle w:val="FirstParagraph"/>
      </w:pPr>
      <w:r>
        <w:rPr>
          <w:b/>
          <w:bCs/>
        </w:rPr>
        <w:t xml:space="preserve">Audit Date</w:t>
      </w:r>
      <w:r>
        <w:t xml:space="preserve">: January 12, 2026</w:t>
      </w:r>
      <w:r>
        <w:br/>
      </w:r>
      <w:r>
        <w:rPr>
          <w:b/>
          <w:bCs/>
        </w:rPr>
        <w:t xml:space="preserve">Auditor</w:t>
      </w:r>
      <w:r>
        <w:t xml:space="preserve">: DeepSeek Reasoner (MAS)</w:t>
      </w:r>
      <w:r>
        <w:br/>
      </w:r>
      <w:r>
        <w:rPr>
          <w:b/>
          <w:bCs/>
        </w:rPr>
        <w:t xml:space="preserve">Project</w:t>
      </w:r>
      <w:r>
        <w:t xml:space="preserve">: Lotus Sutra Blues Translation</w:t>
      </w:r>
      <w:r>
        <w:br/>
      </w:r>
      <w:r>
        <w:rPr>
          <w:b/>
          <w:bCs/>
        </w:rPr>
        <w:t xml:space="preserve">Translator</w:t>
      </w:r>
      <w:r>
        <w:t xml:space="preserve">: Master John Kim (Bluesman Agent)</w:t>
      </w:r>
    </w:p>
    <w:p>
      <w:r>
        <w:pict>
          <v:rect style="width:0;height:1.5pt" o:hralign="center" o:hrstd="t" o:hr="t"/>
        </w:pict>
      </w:r>
    </w:p>
    <w:bookmarkEnd w:id="9"/>
    <w:bookmarkStart w:id="1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OVERALL RATING: EXCELLENT</w:t>
      </w:r>
    </w:p>
    <w:p>
      <w:pPr>
        <w:pStyle w:val="BodyText"/>
      </w:pPr>
      <w:r>
        <w:t xml:space="preserve">This is an</w:t>
      </w:r>
      <w:r>
        <w:t xml:space="preserve"> </w:t>
      </w:r>
      <w:r>
        <w:rPr>
          <w:b/>
          <w:bCs/>
        </w:rPr>
        <w:t xml:space="preserve">impressive and doctrinally robust</w:t>
      </w:r>
      <w:r>
        <w:t xml:space="preserve"> </w:t>
      </w:r>
      <w:r>
        <w:t xml:space="preserve">adaptation that achieves a genuine</w:t>
      </w:r>
      <w:r>
        <w:t xml:space="preserve"> </w:t>
      </w:r>
      <w:r>
        <w:rPr>
          <w:i/>
          <w:iCs/>
        </w:rPr>
        <w:t xml:space="preserve">transposition</w:t>
      </w:r>
      <w:r>
        <w:t xml:space="preserve">—taking a sublime spiritual melody and playing it in a new, deeply resonant key. The translation honors both the letter and spirit of the Mahāyāna source and the African-American Blues tradition.</w:t>
      </w:r>
    </w:p>
    <w:bookmarkStart w:id="10" w:name="key-findings"/>
    <w:p>
      <w:pPr>
        <w:pStyle w:val="Heading3"/>
      </w:pPr>
      <w:r>
        <w:t xml:space="preserve">Key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28 chapters rated Excellent or Good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critical doctrinal errors</w:t>
      </w:r>
      <w:r>
        <w:t xml:space="preserve"> </w:t>
      </w:r>
      <w:r>
        <w:t xml:space="preserve">found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Blues authenticity maintained</w:t>
      </w:r>
      <w:r>
        <w:t xml:space="preserve"> </w:t>
      </w:r>
      <w:r>
        <w:t xml:space="preserve">without stereotyping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Philological fidelity</w:t>
      </w:r>
      <w:r>
        <w:t xml:space="preserve"> </w:t>
      </w:r>
      <w:r>
        <w:t xml:space="preserve">to key Buddhist terms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Poetic quality</w:t>
      </w:r>
      <w:r>
        <w:t xml:space="preserve"> </w:t>
      </w:r>
      <w:r>
        <w:t xml:space="preserve">sustained throughout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part-1-chapters-1-7-foundation"/>
    <w:p>
      <w:pPr>
        <w:pStyle w:val="Heading2"/>
      </w:pPr>
      <w:r>
        <w:t xml:space="preserve">Part 1: Chapters 1-7 (Foundation)</w:t>
      </w:r>
    </w:p>
    <w:bookmarkStart w:id="12" w:name="chapter-1-introduction"/>
    <w:p>
      <w:pPr>
        <w:pStyle w:val="Heading3"/>
      </w:pPr>
      <w:r>
        <w:t xml:space="preserve">Chapter 1: Introduction</w:t>
      </w:r>
    </w:p>
    <w:p>
      <w:pPr>
        <w:pStyle w:val="FirstParagraph"/>
      </w:pPr>
      <w:r>
        <w:rPr>
          <w:b/>
          <w:bCs/>
        </w:rPr>
        <w:t xml:space="preserve">Rating: EXCELLENT</w:t>
      </w:r>
      <w:r>
        <w:br/>
      </w:r>
      <w:r>
        <w:t xml:space="preserve">The great gathering on Vulture Peak is rendered as a timeless juke joint session—the Buddha enters deep meditation, light streams from his brow, and the assembly watches in awed expectancy. The Blues treatment creates immediacy and invitation.</w:t>
      </w:r>
    </w:p>
    <w:bookmarkEnd w:id="12"/>
    <w:bookmarkStart w:id="13" w:name="chapter-2-skillful-means-upāya"/>
    <w:p>
      <w:pPr>
        <w:pStyle w:val="Heading3"/>
      </w:pPr>
      <w:r>
        <w:t xml:space="preserve">Chapter 2: Skillful Means (Upāya)</w:t>
      </w:r>
    </w:p>
    <w:p>
      <w:pPr>
        <w:pStyle w:val="FirstParagraph"/>
      </w:pPr>
      <w:r>
        <w:rPr>
          <w:b/>
          <w:bCs/>
        </w:rPr>
        <w:t xml:space="preserve">Rating: EXCELLENT</w:t>
      </w:r>
      <w:r>
        <w:br/>
      </w:r>
      <w:r>
        <w:t xml:space="preserve">The central doctrine of expedient teachings is masterfully rendered. The Blues itself is used as a meta-example of</w:t>
      </w:r>
      <w:r>
        <w:t xml:space="preserve"> </w:t>
      </w:r>
      <w:r>
        <w:rPr>
          <w:i/>
          <w:iCs/>
        </w:rPr>
        <w:t xml:space="preserve">upāya</w:t>
      </w:r>
      <w:r>
        <w:t xml:space="preserve">—a cultural</w:t>
      </w:r>
      <w:r>
        <w:t xml:space="preserve"> </w:t>
      </w:r>
      <w:r>
        <w:t xml:space="preserve">“skillful means”</w:t>
      </w:r>
      <w:r>
        <w:t xml:space="preserve"> </w:t>
      </w:r>
      <w:r>
        <w:t xml:space="preserve">for reaching hearts that formal discourse cannot touch.</w:t>
      </w:r>
    </w:p>
    <w:bookmarkEnd w:id="13"/>
    <w:bookmarkStart w:id="14" w:name="chapter-3-parable-of-the-burning-house"/>
    <w:p>
      <w:pPr>
        <w:pStyle w:val="Heading3"/>
      </w:pPr>
      <w:r>
        <w:t xml:space="preserve">Chapter 3: Parable of the Burning House</w:t>
      </w:r>
    </w:p>
    <w:p>
      <w:pPr>
        <w:pStyle w:val="FirstParagraph"/>
      </w:pPr>
      <w:r>
        <w:rPr>
          <w:b/>
          <w:bCs/>
        </w:rPr>
        <w:t xml:space="preserve">Rating: EXCELLENT</w:t>
      </w:r>
      <w:r>
        <w:br/>
      </w:r>
      <w:r>
        <w:t xml:space="preserve">A standout chapter. The parable translates naturally into Blues narrative—a father’s desperate love, children oblivious to danger, the promise of something better outside. The goat-cart, deer-cart, and ox-cart become different blues styles leading to the same liberation.</w:t>
      </w:r>
    </w:p>
    <w:bookmarkEnd w:id="14"/>
    <w:bookmarkStart w:id="15" w:name="Xb729324b427b447f2e2b79a775facf72bcca975"/>
    <w:p>
      <w:pPr>
        <w:pStyle w:val="Heading3"/>
      </w:pPr>
      <w:r>
        <w:t xml:space="preserve">Chapter 4: Faith and Understanding (Prodigal Son)</w:t>
      </w:r>
    </w:p>
    <w:p>
      <w:pPr>
        <w:pStyle w:val="FirstParagraph"/>
      </w:pPr>
      <w:r>
        <w:rPr>
          <w:b/>
          <w:bCs/>
        </w:rPr>
        <w:t xml:space="preserve">Rating: EXCELLENT</w:t>
      </w:r>
      <w:r>
        <w:br/>
      </w:r>
      <w:r>
        <w:t xml:space="preserve">The Prodigal Son parable resonates deeply with Blues themes of wandering, loss, and homecoming. The father’s patient decades-long work to restore the son echoes the Buddha’s own compassionate patience.</w:t>
      </w:r>
    </w:p>
    <w:bookmarkEnd w:id="15"/>
    <w:bookmarkStart w:id="16" w:name="chapter-5-medicinal-herbs"/>
    <w:p>
      <w:pPr>
        <w:pStyle w:val="Heading3"/>
      </w:pPr>
      <w:r>
        <w:t xml:space="preserve">Chapter 5: Medicinal Herbs</w:t>
      </w:r>
    </w:p>
    <w:p>
      <w:pPr>
        <w:pStyle w:val="FirstParagraph"/>
      </w:pPr>
      <w:r>
        <w:rPr>
          <w:b/>
          <w:bCs/>
        </w:rPr>
        <w:t xml:space="preserve">Rating: GOOD</w:t>
      </w:r>
      <w:r>
        <w:br/>
      </w:r>
      <w:r>
        <w:t xml:space="preserve">The rain metaphor for Dharma is rendered beautifully. Minor recommendation: Ensure the</w:t>
      </w:r>
      <w:r>
        <w:t xml:space="preserve"> </w:t>
      </w:r>
      <w:r>
        <w:t xml:space="preserve">“one rain, many plants”</w:t>
      </w:r>
      <w:r>
        <w:t xml:space="preserve"> </w:t>
      </w:r>
      <w:r>
        <w:t xml:space="preserve">image is emphasized as universal Buddha-nature, not just differential flourishing.</w:t>
      </w:r>
    </w:p>
    <w:bookmarkEnd w:id="16"/>
    <w:bookmarkStart w:id="17" w:name="chapter-6-prophecy"/>
    <w:p>
      <w:pPr>
        <w:pStyle w:val="Heading3"/>
      </w:pPr>
      <w:r>
        <w:t xml:space="preserve">Chapter 6: Prophecy</w:t>
      </w:r>
    </w:p>
    <w:p>
      <w:pPr>
        <w:pStyle w:val="FirstParagraph"/>
      </w:pPr>
      <w:r>
        <w:rPr>
          <w:b/>
          <w:bCs/>
        </w:rPr>
        <w:t xml:space="preserve">Rating: NEEDS ATTENTION (Minor)</w:t>
      </w:r>
      <w:r>
        <w:br/>
      </w:r>
      <w:r>
        <w:t xml:space="preserve">The prophecies for Śāriputra, etc., are faithfully rendered, but the chapter’s list-heavy structure challenges the Blues form. Consider grouping names into rhythmic catalogues (like a blues roll-call).</w:t>
      </w:r>
    </w:p>
    <w:bookmarkEnd w:id="17"/>
    <w:bookmarkStart w:id="18" w:name="chapter-7-parable-of-the-phantom-city"/>
    <w:p>
      <w:pPr>
        <w:pStyle w:val="Heading3"/>
      </w:pPr>
      <w:r>
        <w:t xml:space="preserve">Chapter 7: Parable of the Phantom City</w:t>
      </w:r>
    </w:p>
    <w:p>
      <w:pPr>
        <w:pStyle w:val="FirstParagraph"/>
      </w:pPr>
      <w:r>
        <w:rPr>
          <w:b/>
          <w:bCs/>
        </w:rPr>
        <w:t xml:space="preserve">Rating: EXCELLENT</w:t>
      </w:r>
      <w:r>
        <w:br/>
      </w:r>
      <w:r>
        <w:t xml:space="preserve">A standout. The guide’s creation of a phantom city for weary travelers translates beautifully into archetypal blues images—mirage, journey, deceptive hope, then renewed determination.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part-2-chapters-8-14-deepening"/>
    <w:p>
      <w:pPr>
        <w:pStyle w:val="Heading2"/>
      </w:pPr>
      <w:r>
        <w:t xml:space="preserve">Part 2: Chapters 8-14 (Deepening)</w:t>
      </w:r>
    </w:p>
    <w:bookmarkStart w:id="20" w:name="X3d34470102ad5ac3dcc2cb27de6b6586ad61914"/>
    <w:p>
      <w:pPr>
        <w:pStyle w:val="Heading3"/>
      </w:pPr>
      <w:r>
        <w:t xml:space="preserve">Chapter 8: Prophecy for Five Hundred Disciples</w:t>
      </w:r>
    </w:p>
    <w:p>
      <w:pPr>
        <w:pStyle w:val="FirstParagraph"/>
      </w:pPr>
      <w:r>
        <w:rPr>
          <w:b/>
          <w:bCs/>
        </w:rPr>
        <w:t xml:space="preserve">Rating: GOOD</w:t>
      </w:r>
      <w:r>
        <w:br/>
      </w:r>
      <w:r>
        <w:t xml:space="preserve">The mass prophecy is handled well, with the</w:t>
      </w:r>
      <w:r>
        <w:t xml:space="preserve"> </w:t>
      </w:r>
      <w:r>
        <w:t xml:space="preserve">“hidden gem in the robe”</w:t>
      </w:r>
      <w:r>
        <w:t xml:space="preserve"> </w:t>
      </w:r>
      <w:r>
        <w:t xml:space="preserve">parable resonating strongly. The Blues tradition of</w:t>
      </w:r>
      <w:r>
        <w:t xml:space="preserve"> </w:t>
      </w:r>
      <w:r>
        <w:t xml:space="preserve">“not knowing what you’ve got till it’s gone”</w:t>
      </w:r>
      <w:r>
        <w:t xml:space="preserve"> </w:t>
      </w:r>
      <w:r>
        <w:t xml:space="preserve">applies perfectly.</w:t>
      </w:r>
    </w:p>
    <w:bookmarkEnd w:id="20"/>
    <w:bookmarkStart w:id="21" w:name="chapter-9-prophecies-for-learners"/>
    <w:p>
      <w:pPr>
        <w:pStyle w:val="Heading3"/>
      </w:pPr>
      <w:r>
        <w:t xml:space="preserve">Chapter 9: Prophecies for Learners</w:t>
      </w:r>
    </w:p>
    <w:p>
      <w:pPr>
        <w:pStyle w:val="FirstParagraph"/>
      </w:pPr>
      <w:r>
        <w:rPr>
          <w:b/>
          <w:bCs/>
        </w:rPr>
        <w:t xml:space="preserve">Rating: GOOD</w:t>
      </w:r>
      <w:r>
        <w:br/>
      </w:r>
      <w:r>
        <w:t xml:space="preserve">Continues the prophecy arc appropriately. No major issues.</w:t>
      </w:r>
    </w:p>
    <w:bookmarkEnd w:id="21"/>
    <w:bookmarkStart w:id="22" w:name="chapter-10-teachers-of-the-dharma"/>
    <w:p>
      <w:pPr>
        <w:pStyle w:val="Heading3"/>
      </w:pPr>
      <w:r>
        <w:t xml:space="preserve">Chapter 10: Teachers of the Dharma</w:t>
      </w:r>
    </w:p>
    <w:p>
      <w:pPr>
        <w:pStyle w:val="FirstParagraph"/>
      </w:pPr>
      <w:r>
        <w:rPr>
          <w:b/>
          <w:bCs/>
        </w:rPr>
        <w:t xml:space="preserve">Rating: EXCELLENT</w:t>
      </w:r>
      <w:r>
        <w:br/>
      </w:r>
      <w:r>
        <w:t xml:space="preserve">The Dharma teacher as</w:t>
      </w:r>
      <w:r>
        <w:t xml:space="preserve"> </w:t>
      </w:r>
      <w:r>
        <w:t xml:space="preserve">“bluesman carrying the old songs”</w:t>
      </w:r>
      <w:r>
        <w:t xml:space="preserve"> </w:t>
      </w:r>
      <w:r>
        <w:t xml:space="preserve">is compelling. The chapter’s emphasis on respect for the sutra translates naturally.</w:t>
      </w:r>
    </w:p>
    <w:bookmarkEnd w:id="22"/>
    <w:bookmarkStart w:id="23" w:name="X834f1546f65362a6a6c8d745331dcfea9f4fbe7"/>
    <w:p>
      <w:pPr>
        <w:pStyle w:val="Heading3"/>
      </w:pPr>
      <w:r>
        <w:t xml:space="preserve">Chapter 11: Emergence of the Treasure Tower</w:t>
      </w:r>
    </w:p>
    <w:p>
      <w:pPr>
        <w:pStyle w:val="FirstParagraph"/>
      </w:pPr>
      <w:r>
        <w:rPr>
          <w:b/>
          <w:bCs/>
        </w:rPr>
        <w:t xml:space="preserve">Rating: EXCELLENT</w:t>
      </w:r>
      <w:r>
        <w:br/>
      </w:r>
      <w:r>
        <w:t xml:space="preserve">The cosmic drama of the stupa emerging from the earth is rendered with appropriate wonder. The Buddha Prabhūtaratna’s voice from within becomes</w:t>
      </w:r>
      <w:r>
        <w:t xml:space="preserve"> </w:t>
      </w:r>
      <w:r>
        <w:t xml:space="preserve">“an old voice singing from the depth.”</w:t>
      </w:r>
    </w:p>
    <w:bookmarkEnd w:id="23"/>
    <w:bookmarkStart w:id="24" w:name="chapter-12-devadatta"/>
    <w:p>
      <w:pPr>
        <w:pStyle w:val="Heading3"/>
      </w:pPr>
      <w:r>
        <w:t xml:space="preserve">Chapter 12: Devadatta</w:t>
      </w:r>
    </w:p>
    <w:p>
      <w:pPr>
        <w:pStyle w:val="FirstParagraph"/>
      </w:pPr>
      <w:r>
        <w:rPr>
          <w:b/>
          <w:bCs/>
        </w:rPr>
        <w:t xml:space="preserve">Rating: GOOD (with commendation)</w:t>
      </w:r>
      <w:r>
        <w:br/>
      </w:r>
      <w:r>
        <w:t xml:space="preserve">This problematic chapter is handled</w:t>
      </w:r>
      <w:r>
        <w:t xml:space="preserve"> </w:t>
      </w:r>
      <w:r>
        <w:rPr>
          <w:b/>
          <w:bCs/>
        </w:rPr>
        <w:t xml:space="preserve">skillfully subversively</w:t>
      </w:r>
      <w:r>
        <w:t xml:space="preserve">. The translation emphasizes the universal teaching rather than the villain narrative. The dragon girl’s transformation is rendered as empowering rather than problematic. The Blues lens actually helps reframe potential issues.</w:t>
      </w:r>
    </w:p>
    <w:bookmarkEnd w:id="24"/>
    <w:bookmarkStart w:id="25" w:name="chapter-13-exhortation-to-hold-firm"/>
    <w:p>
      <w:pPr>
        <w:pStyle w:val="Heading3"/>
      </w:pPr>
      <w:r>
        <w:t xml:space="preserve">Chapter 13: Exhortation to Hold Firm</w:t>
      </w:r>
    </w:p>
    <w:p>
      <w:pPr>
        <w:pStyle w:val="FirstParagraph"/>
      </w:pPr>
      <w:r>
        <w:rPr>
          <w:b/>
          <w:bCs/>
        </w:rPr>
        <w:t xml:space="preserve">Rating: EXCELLENT</w:t>
      </w:r>
      <w:r>
        <w:br/>
      </w:r>
      <w:r>
        <w:t xml:space="preserve">The bhikṣuṇīs’ bold prophecies and the assembly’s vows translate well into Blues resilience themes.</w:t>
      </w:r>
    </w:p>
    <w:bookmarkEnd w:id="25"/>
    <w:bookmarkStart w:id="26" w:name="chapter-14-peaceful-practices"/>
    <w:p>
      <w:pPr>
        <w:pStyle w:val="Heading3"/>
      </w:pPr>
      <w:r>
        <w:t xml:space="preserve">Chapter 14: Peaceful Practices</w:t>
      </w:r>
    </w:p>
    <w:p>
      <w:pPr>
        <w:pStyle w:val="FirstParagraph"/>
      </w:pPr>
      <w:r>
        <w:rPr>
          <w:b/>
          <w:bCs/>
        </w:rPr>
        <w:t xml:space="preserve">Rating: EXCELLENT</w:t>
      </w:r>
      <w:r>
        <w:br/>
      </w:r>
      <w:r>
        <w:t xml:space="preserve">The ethical guidelines become a</w:t>
      </w:r>
      <w:r>
        <w:t xml:space="preserve"> </w:t>
      </w:r>
      <w:r>
        <w:t xml:space="preserve">“how to walk the road”</w:t>
      </w:r>
      <w:r>
        <w:t xml:space="preserve"> </w:t>
      </w:r>
      <w:r>
        <w:t xml:space="preserve">manual in Blues idiom—practical, grounded wisdom for the long journey.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part-3-chapters-15-21-doctrinal-climax"/>
    <w:p>
      <w:pPr>
        <w:pStyle w:val="Heading2"/>
      </w:pPr>
      <w:r>
        <w:t xml:space="preserve">Part 3: Chapters 15-21 (Doctrinal Climax)</w:t>
      </w:r>
    </w:p>
    <w:bookmarkStart w:id="28" w:name="chapter-15-emerging-from-the-earth"/>
    <w:p>
      <w:pPr>
        <w:pStyle w:val="Heading3"/>
      </w:pPr>
      <w:r>
        <w:t xml:space="preserve">Chapter 15: Emerging from the Earth</w:t>
      </w:r>
    </w:p>
    <w:p>
      <w:pPr>
        <w:pStyle w:val="FirstParagraph"/>
      </w:pPr>
      <w:r>
        <w:rPr>
          <w:b/>
          <w:bCs/>
        </w:rPr>
        <w:t xml:space="preserve">Rating: EXCELLENT</w:t>
      </w:r>
      <w:r>
        <w:br/>
      </w:r>
      <w:r>
        <w:t xml:space="preserve">The bodhisattvas rising from the earth are rendered as</w:t>
      </w:r>
      <w:r>
        <w:t xml:space="preserve"> </w:t>
      </w:r>
      <w:r>
        <w:t xml:space="preserve">“old blues musicians you never heard of, but who taught everybody.”</w:t>
      </w:r>
      <w:r>
        <w:t xml:space="preserve"> </w:t>
      </w:r>
      <w:r>
        <w:t xml:space="preserve">This theological surprise is handled masterfully.</w:t>
      </w:r>
    </w:p>
    <w:bookmarkEnd w:id="28"/>
    <w:bookmarkStart w:id="29" w:name="chapter-16-the-lifespan-of-the-tathāgata"/>
    <w:p>
      <w:pPr>
        <w:pStyle w:val="Heading3"/>
      </w:pPr>
      <w:r>
        <w:t xml:space="preserve">Chapter 16: The Lifespan of the Tathāgata</w:t>
      </w:r>
    </w:p>
    <w:p>
      <w:pPr>
        <w:pStyle w:val="FirstParagraph"/>
      </w:pPr>
      <w:r>
        <w:rPr>
          <w:b/>
          <w:bCs/>
        </w:rPr>
        <w:t xml:space="preserve">Rating: EXCELLENT (STANDOUT)</w:t>
      </w:r>
      <w:r>
        <w:br/>
      </w:r>
      <w:r>
        <w:rPr>
          <w:b/>
          <w:bCs/>
        </w:rPr>
        <w:t xml:space="preserve">The philosophical heart of the Lotus Sutra.</w:t>
      </w:r>
      <w:r>
        <w:t xml:space="preserve"> </w:t>
      </w:r>
      <w:r>
        <w:t xml:space="preserve">The Blues translation achieves its highest note here. The eternal Buddha who only</w:t>
      </w:r>
      <w:r>
        <w:t xml:space="preserve"> </w:t>
      </w:r>
      <w:r>
        <w:rPr>
          <w:i/>
          <w:iCs/>
        </w:rPr>
        <w:t xml:space="preserve">appears</w:t>
      </w:r>
      <w:r>
        <w:t xml:space="preserve"> </w:t>
      </w:r>
      <w:r>
        <w:t xml:space="preserve">to die is rendered as</w:t>
      </w:r>
      <w:r>
        <w:t xml:space="preserve"> </w:t>
      </w:r>
      <w:r>
        <w:t xml:space="preserve">“the blues that was always there, before Robert Johnson, before the first field holler—the sound that taught the sound.”</w:t>
      </w:r>
      <w:r>
        <w:t xml:space="preserve"> </w:t>
      </w:r>
      <w:r>
        <w:t xml:space="preserve">The parable of the physician father is particularly moving.</w:t>
      </w:r>
    </w:p>
    <w:bookmarkEnd w:id="29"/>
    <w:bookmarkStart w:id="30" w:name="chapter-17-discrimination-of-merits"/>
    <w:p>
      <w:pPr>
        <w:pStyle w:val="Heading3"/>
      </w:pPr>
      <w:r>
        <w:t xml:space="preserve">Chapter 17: Discrimination of Merits</w:t>
      </w:r>
    </w:p>
    <w:p>
      <w:pPr>
        <w:pStyle w:val="FirstParagraph"/>
      </w:pPr>
      <w:r>
        <w:rPr>
          <w:b/>
          <w:bCs/>
        </w:rPr>
        <w:t xml:space="preserve">Rating: GOOD</w:t>
      </w:r>
      <w:r>
        <w:br/>
      </w:r>
      <w:r>
        <w:t xml:space="preserve">The enumeration of merits is handled appropriately, though the list structure remains challenging.</w:t>
      </w:r>
    </w:p>
    <w:bookmarkEnd w:id="30"/>
    <w:bookmarkStart w:id="31" w:name="chapter-18-benefits-of-joyful-acceptance"/>
    <w:p>
      <w:pPr>
        <w:pStyle w:val="Heading3"/>
      </w:pPr>
      <w:r>
        <w:t xml:space="preserve">Chapter 18: Benefits of Joyful Acceptance</w:t>
      </w:r>
    </w:p>
    <w:p>
      <w:pPr>
        <w:pStyle w:val="FirstParagraph"/>
      </w:pPr>
      <w:r>
        <w:rPr>
          <w:b/>
          <w:bCs/>
        </w:rPr>
        <w:t xml:space="preserve">Rating: EXCELLENT</w:t>
      </w:r>
      <w:r>
        <w:br/>
      </w:r>
      <w:r>
        <w:t xml:space="preserve">The infinite merit from a single moment of joyful hearing translates beautifully into the Blues experience of transcendence through hearing a perfect note.</w:t>
      </w:r>
    </w:p>
    <w:bookmarkEnd w:id="31"/>
    <w:bookmarkStart w:id="32" w:name="chapter-19-benefits-of-the-teacher"/>
    <w:p>
      <w:pPr>
        <w:pStyle w:val="Heading3"/>
      </w:pPr>
      <w:r>
        <w:t xml:space="preserve">Chapter 19: Benefits of the Teacher</w:t>
      </w:r>
    </w:p>
    <w:p>
      <w:pPr>
        <w:pStyle w:val="FirstParagraph"/>
      </w:pPr>
      <w:r>
        <w:rPr>
          <w:b/>
          <w:bCs/>
        </w:rPr>
        <w:t xml:space="preserve">Rating: GOOD</w:t>
      </w:r>
      <w:r>
        <w:br/>
      </w:r>
      <w:r>
        <w:t xml:space="preserve">The purification of sense organs is rendered as</w:t>
      </w:r>
      <w:r>
        <w:t xml:space="preserve"> </w:t>
      </w:r>
      <w:r>
        <w:t xml:space="preserve">“eyes that can see the sacred in the secular, ears that hear the sermon in the song.”</w:t>
      </w:r>
    </w:p>
    <w:bookmarkEnd w:id="32"/>
    <w:bookmarkStart w:id="33" w:name="chapter-20-bodhisattva-never-disparaging"/>
    <w:p>
      <w:pPr>
        <w:pStyle w:val="Heading3"/>
      </w:pPr>
      <w:r>
        <w:t xml:space="preserve">Chapter 20: Bodhisattva Never Disparaging</w:t>
      </w:r>
    </w:p>
    <w:p>
      <w:pPr>
        <w:pStyle w:val="FirstParagraph"/>
      </w:pPr>
      <w:r>
        <w:rPr>
          <w:b/>
          <w:bCs/>
        </w:rPr>
        <w:t xml:space="preserve">Rating: EXCELLENT (STANDOUT)</w:t>
      </w:r>
      <w:r>
        <w:br/>
      </w:r>
      <w:r>
        <w:t xml:space="preserve">A second major highlight. Sadāparibhūta’s radical practice—bowing to everyone saying</w:t>
      </w:r>
      <w:r>
        <w:t xml:space="preserve"> </w:t>
      </w:r>
      <w:r>
        <w:t xml:space="preserve">“You will be a Buddha”</w:t>
      </w:r>
      <w:r>
        <w:t xml:space="preserve">—is rendered as</w:t>
      </w:r>
      <w:r>
        <w:t xml:space="preserve"> </w:t>
      </w:r>
      <w:r>
        <w:t xml:space="preserve">“that musician who plays the street corner, bowing to the passed-by and the passerby both.”</w:t>
      </w:r>
      <w:r>
        <w:t xml:space="preserve"> </w:t>
      </w:r>
      <w:r>
        <w:t xml:space="preserve">The chapter’s emphasis on perseverance despite abuse is pure Blues theology.</w:t>
      </w:r>
    </w:p>
    <w:bookmarkEnd w:id="33"/>
    <w:bookmarkStart w:id="34" w:name="chapter-21-supernatural-powers"/>
    <w:p>
      <w:pPr>
        <w:pStyle w:val="Heading3"/>
      </w:pPr>
      <w:r>
        <w:t xml:space="preserve">Chapter 21: Supernatural Powers</w:t>
      </w:r>
    </w:p>
    <w:p>
      <w:pPr>
        <w:pStyle w:val="FirstParagraph"/>
      </w:pPr>
      <w:r>
        <w:rPr>
          <w:b/>
          <w:bCs/>
        </w:rPr>
        <w:t xml:space="preserve">Rating: EXCELLENT</w:t>
      </w:r>
      <w:r>
        <w:br/>
      </w:r>
      <w:r>
        <w:t xml:space="preserve">The cosmic display of tongues, light, and entrustment is rendered as</w:t>
      </w:r>
      <w:r>
        <w:t xml:space="preserve"> </w:t>
      </w:r>
      <w:r>
        <w:t xml:space="preserve">“the greatest set ever played,”</w:t>
      </w:r>
      <w:r>
        <w:t xml:space="preserve"> </w:t>
      </w:r>
      <w:r>
        <w:t xml:space="preserve">with appropriate wonder and solemnity.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Xfa98722b5fc5079e2fdbf396b397cc72e0acb53"/>
    <w:p>
      <w:pPr>
        <w:pStyle w:val="Heading2"/>
      </w:pPr>
      <w:r>
        <w:t xml:space="preserve">Part 4: Chapters 22-28 (Closure and Entrustment)</w:t>
      </w:r>
    </w:p>
    <w:bookmarkStart w:id="36" w:name="chapter-22-entrustment"/>
    <w:p>
      <w:pPr>
        <w:pStyle w:val="Heading3"/>
      </w:pPr>
      <w:r>
        <w:t xml:space="preserve">Chapter 22: Entrustment</w:t>
      </w:r>
    </w:p>
    <w:p>
      <w:pPr>
        <w:pStyle w:val="FirstParagraph"/>
      </w:pPr>
      <w:r>
        <w:rPr>
          <w:b/>
          <w:bCs/>
        </w:rPr>
        <w:t xml:space="preserve">Rating: EXCELLENT</w:t>
      </w:r>
      <w:r>
        <w:br/>
      </w:r>
      <w:r>
        <w:t xml:space="preserve">The transmission is rendered as</w:t>
      </w:r>
      <w:r>
        <w:t xml:space="preserve"> </w:t>
      </w:r>
      <w:r>
        <w:t xml:space="preserve">“handing down the old guitar”</w:t>
      </w:r>
      <w:r>
        <w:t xml:space="preserve">—grounding transcendent entrustment in the blues tradition of lineage and mentorship.</w:t>
      </w:r>
    </w:p>
    <w:bookmarkEnd w:id="36"/>
    <w:bookmarkStart w:id="37" w:name="Xef8aaa262213b6bae485db735cafb43a50785a8"/>
    <w:p>
      <w:pPr>
        <w:pStyle w:val="Heading3"/>
      </w:pPr>
      <w:r>
        <w:t xml:space="preserve">Chapter 23: Former Affairs of Medicine King</w:t>
      </w:r>
    </w:p>
    <w:p>
      <w:pPr>
        <w:pStyle w:val="FirstParagraph"/>
      </w:pPr>
      <w:r>
        <w:rPr>
          <w:b/>
          <w:bCs/>
        </w:rPr>
        <w:t xml:space="preserve">Rating: GOOD</w:t>
      </w:r>
      <w:r>
        <w:br/>
      </w:r>
      <w:r>
        <w:t xml:space="preserve">The bodhisattva’s radical self-offering is handled carefully, emphasizing spiritual aspiration rather than literal imitation.</w:t>
      </w:r>
    </w:p>
    <w:bookmarkEnd w:id="37"/>
    <w:bookmarkStart w:id="38" w:name="chapter-24-bodhisattva-wonderful-sound"/>
    <w:p>
      <w:pPr>
        <w:pStyle w:val="Heading3"/>
      </w:pPr>
      <w:r>
        <w:t xml:space="preserve">Chapter 24: Bodhisattva Wonderful Sound</w:t>
      </w:r>
    </w:p>
    <w:p>
      <w:pPr>
        <w:pStyle w:val="FirstParagraph"/>
      </w:pPr>
      <w:r>
        <w:rPr>
          <w:b/>
          <w:bCs/>
        </w:rPr>
        <w:t xml:space="preserve">Rating: EXCELLENT</w:t>
      </w:r>
      <w:r>
        <w:br/>
      </w:r>
      <w:r>
        <w:t xml:space="preserve">The cosmic bodhisattva visiting countless worlds to teach is rendered as</w:t>
      </w:r>
      <w:r>
        <w:t xml:space="preserve"> </w:t>
      </w:r>
      <w:r>
        <w:t xml:space="preserve">“the invisible session player who’s been on every recording since the beginning.”</w:t>
      </w:r>
    </w:p>
    <w:bookmarkEnd w:id="38"/>
    <w:bookmarkStart w:id="39" w:name="X856830a05ada2109e08a641f8f4c6ac5192728e"/>
    <w:p>
      <w:pPr>
        <w:pStyle w:val="Heading3"/>
      </w:pPr>
      <w:r>
        <w:t xml:space="preserve">Chapter 25: Universal Gate of Avalokiteśvara</w:t>
      </w:r>
    </w:p>
    <w:p>
      <w:pPr>
        <w:pStyle w:val="FirstParagraph"/>
      </w:pPr>
      <w:r>
        <w:rPr>
          <w:b/>
          <w:bCs/>
        </w:rPr>
        <w:t xml:space="preserve">Rating: EXCELLENT (STANDOUT)</w:t>
      </w:r>
      <w:r>
        <w:br/>
      </w:r>
      <w:r>
        <w:t xml:space="preserve">One of the most beloved chapters. The Blues lens is ideal here—Guanyin’s responsiveness to suffering becomes</w:t>
      </w:r>
      <w:r>
        <w:t xml:space="preserve"> </w:t>
      </w:r>
      <w:r>
        <w:t xml:space="preserve">“the one who hears the cry”</w:t>
      </w:r>
      <w:r>
        <w:t xml:space="preserve"> </w:t>
      </w:r>
      <w:r>
        <w:t xml:space="preserve">in the most intimate, immediate terms. The thirty-three forms are rendered naturally as the compassion that meets you where you are.</w:t>
      </w:r>
    </w:p>
    <w:bookmarkEnd w:id="39"/>
    <w:bookmarkStart w:id="40" w:name="chapter-26-dhāraṇī"/>
    <w:p>
      <w:pPr>
        <w:pStyle w:val="Heading3"/>
      </w:pPr>
      <w:r>
        <w:t xml:space="preserve">Chapter 26: Dhāraṇī</w:t>
      </w:r>
    </w:p>
    <w:p>
      <w:pPr>
        <w:pStyle w:val="FirstParagraph"/>
      </w:pPr>
      <w:r>
        <w:rPr>
          <w:b/>
          <w:bCs/>
        </w:rPr>
        <w:t xml:space="preserve">Rating: GOOD (with note)</w:t>
      </w:r>
      <w:r>
        <w:br/>
      </w:r>
      <w:r>
        <w:t xml:space="preserve">The dhāraṇī protective formulas are rendered as</w:t>
      </w:r>
      <w:r>
        <w:t xml:space="preserve"> </w:t>
      </w:r>
      <w:r>
        <w:t xml:space="preserve">“old words of power, sung before you understood them.”</w:t>
      </w:r>
      <w:r>
        <w:t xml:space="preserve"> </w:t>
      </w:r>
      <w:r>
        <w:t xml:space="preserve">The translation wisely preserves the formal dhāraṇī sounds while providing interpretive context.</w:t>
      </w:r>
    </w:p>
    <w:bookmarkEnd w:id="40"/>
    <w:bookmarkStart w:id="41" w:name="Xf8eaaeb607e81354f5c2e8711e29f4082a80847"/>
    <w:p>
      <w:pPr>
        <w:pStyle w:val="Heading3"/>
      </w:pPr>
      <w:r>
        <w:t xml:space="preserve">Chapter 27: Former Affairs of King Wonderful Adornment</w:t>
      </w:r>
    </w:p>
    <w:p>
      <w:pPr>
        <w:pStyle w:val="FirstParagraph"/>
      </w:pPr>
      <w:r>
        <w:rPr>
          <w:b/>
          <w:bCs/>
        </w:rPr>
        <w:t xml:space="preserve">Rating: EXCELLENT</w:t>
      </w:r>
      <w:r>
        <w:br/>
      </w:r>
      <w:r>
        <w:t xml:space="preserve">The family conversion narrative is rendered movingly—the queen’s gentle insistence, the king’s gradual turning, the sons’ patience.</w:t>
      </w:r>
    </w:p>
    <w:bookmarkEnd w:id="41"/>
    <w:bookmarkStart w:id="42" w:name="chapter-28-samantabhadras-encouragement"/>
    <w:p>
      <w:pPr>
        <w:pStyle w:val="Heading3"/>
      </w:pPr>
      <w:r>
        <w:t xml:space="preserve">Chapter 28: Samantabhadra’s Encouragement</w:t>
      </w:r>
    </w:p>
    <w:p>
      <w:pPr>
        <w:pStyle w:val="FirstParagraph"/>
      </w:pPr>
      <w:r>
        <w:rPr>
          <w:b/>
          <w:bCs/>
        </w:rPr>
        <w:t xml:space="preserve">Rating: EXCELLENT</w:t>
      </w:r>
      <w:r>
        <w:br/>
      </w:r>
      <w:r>
        <w:t xml:space="preserve">The closing frame echoes Chapter 1 beautifully. Samantabhadra’s vows and encouragement become</w:t>
      </w:r>
      <w:r>
        <w:t xml:space="preserve"> </w:t>
      </w:r>
      <w:r>
        <w:t xml:space="preserve">“the last song of the night, the promise that the music continues after the set is done.”</w:t>
      </w:r>
      <w:r>
        <w:t xml:space="preserve"> </w:t>
      </w:r>
      <w:r>
        <w:t xml:space="preserve">The entrustment is earned—the reader is left with a living, humming truth to carry.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cross-chapter-consistency-observations"/>
    <w:p>
      <w:pPr>
        <w:pStyle w:val="Heading2"/>
      </w:pPr>
      <w:r>
        <w:t xml:space="preserve">Cross-Chapter Consistency Observations</w:t>
      </w:r>
    </w:p>
    <w:bookmarkStart w:id="44" w:name="strengths"/>
    <w:p>
      <w:pPr>
        <w:pStyle w:val="Heading3"/>
      </w:pPr>
      <w:r>
        <w:t xml:space="preserve">Strengths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Terminology Consistency</w:t>
      </w:r>
      <w:r>
        <w:t xml:space="preserve">: Core metaphors sustained throughout—Path =</w:t>
      </w:r>
      <w:r>
        <w:t xml:space="preserve"> </w:t>
      </w:r>
      <w:r>
        <w:t xml:space="preserve">“road,”</w:t>
      </w:r>
      <w:r>
        <w:t xml:space="preserve"> </w:t>
      </w:r>
      <w:r>
        <w:t xml:space="preserve">Dharma =</w:t>
      </w:r>
      <w:r>
        <w:t xml:space="preserve"> </w:t>
      </w:r>
      <w:r>
        <w:t xml:space="preserve">“medicine/rain,”</w:t>
      </w:r>
      <w:r>
        <w:t xml:space="preserve"> </w:t>
      </w:r>
      <w:r>
        <w:t xml:space="preserve">awakening =</w:t>
      </w:r>
      <w:r>
        <w:t xml:space="preserve"> </w:t>
      </w:r>
      <w:r>
        <w:t xml:space="preserve">“the other side”</w:t>
      </w:r>
      <w:r>
        <w:t xml:space="preserve"> </w:t>
      </w:r>
      <w:r>
        <w:t xml:space="preserve">or</w:t>
      </w:r>
      <w:r>
        <w:t xml:space="preserve"> </w:t>
      </w:r>
      <w:r>
        <w:t xml:space="preserve">“home”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Buddha’s Voice</w:t>
      </w:r>
      <w:r>
        <w:t xml:space="preserve">: Consistent persona—compassionate, sometimes weary, infinitely patient, shrewd elder bluesman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Verse Form</w:t>
      </w:r>
      <w:r>
        <w:t xml:space="preserve">: AAB lyrical structure, call-and-response, and repetition maintained throughout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Doctrinal Arc</w:t>
      </w:r>
      <w:r>
        <w:t xml:space="preserve">: The sutra’s progression from disclosure (1-7) through elaboration (8-14) to climax (15-21) and entrustment (22-28) is preserved</w:t>
      </w:r>
    </w:p>
    <w:bookmarkEnd w:id="44"/>
    <w:bookmarkStart w:id="45" w:name="minor-observations"/>
    <w:p>
      <w:pPr>
        <w:pStyle w:val="Heading3"/>
      </w:pPr>
      <w:r>
        <w:t xml:space="preserve">Minor Observations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Proper Noun Handling</w:t>
      </w:r>
      <w:r>
        <w:t xml:space="preserve">: The strategy for translating titles vs. names works but should be formally documented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List-Heavy Sections</w:t>
      </w:r>
      <w:r>
        <w:t xml:space="preserve">: Chapters with many names (6, 8, 9) benefit from rhythmic catalog technique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Minor Lexical Repetition</w:t>
      </w:r>
      <w:r>
        <w:t xml:space="preserve">: Slight over-reliance on</w:t>
      </w:r>
      <w:r>
        <w:t xml:space="preserve"> </w:t>
      </w:r>
      <w:r>
        <w:t xml:space="preserve">“road”</w:t>
      </w:r>
      <w:r>
        <w:t xml:space="preserve"> </w:t>
      </w:r>
      <w:r>
        <w:t xml:space="preserve">and</w:t>
      </w:r>
      <w:r>
        <w:t xml:space="preserve"> </w:t>
      </w:r>
      <w:r>
        <w:t xml:space="preserve">“tune”</w:t>
      </w:r>
      <w:r>
        <w:t xml:space="preserve"> </w:t>
      </w:r>
      <w:r>
        <w:t xml:space="preserve">metaphors in transitions (not doctrinal issue)</w:t>
      </w:r>
    </w:p>
    <w:bookmarkEnd w:id="45"/>
    <w:bookmarkStart w:id="46" w:name="suggested-edits-for-lexical-variety"/>
    <w:p>
      <w:pPr>
        <w:pStyle w:val="Heading3"/>
      </w:pPr>
      <w:r>
        <w:t xml:space="preserve">Suggested Edits for Lexical Variety</w:t>
      </w:r>
    </w:p>
    <w:p>
      <w:pPr>
        <w:pStyle w:val="FirstParagraph"/>
      </w:pPr>
      <w:r>
        <w:t xml:space="preserve">To address the</w:t>
      </w:r>
      <w:r>
        <w:t xml:space="preserve"> </w:t>
      </w:r>
      <w:r>
        <w:t xml:space="preserve">“road”</w:t>
      </w:r>
      <w:r>
        <w:t xml:space="preserve"> </w:t>
      </w:r>
      <w:r>
        <w:t xml:space="preserve">and</w:t>
      </w:r>
      <w:r>
        <w:t xml:space="preserve"> </w:t>
      </w:r>
      <w:r>
        <w:t xml:space="preserve">“tune”</w:t>
      </w:r>
      <w:r>
        <w:t xml:space="preserve"> </w:t>
      </w:r>
      <w:r>
        <w:t xml:space="preserve">repetition, consider these alternative Blues metaphors that maintain the tradition’s authenticity:</w:t>
      </w:r>
    </w:p>
    <w:p>
      <w:pPr>
        <w:pStyle w:val="BodyText"/>
      </w:pP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b/>
          <w:bCs/>
        </w:rPr>
        <w:t xml:space="preserve">“road”</w:t>
      </w:r>
      <w:r>
        <w:rPr>
          <w:b/>
          <w:bCs/>
        </w:rPr>
        <w:t xml:space="preserve">:</w:t>
      </w:r>
      <w:r>
        <w:t xml:space="preserve"> </w:t>
      </w:r>
      <w:r>
        <w:t xml:space="preserve">| Current | Suggested Alternatives |</w:t>
      </w:r>
      <w:r>
        <w:t xml:space="preserve"> </w:t>
      </w:r>
      <w:r>
        <w:t xml:space="preserve">|———|———————-|</w:t>
      </w:r>
      <w:r>
        <w:t xml:space="preserve"> </w:t>
      </w:r>
      <w:r>
        <w:t xml:space="preserve">|</w:t>
      </w:r>
      <w:r>
        <w:t xml:space="preserve"> </w:t>
      </w:r>
      <w:r>
        <w:t xml:space="preserve">“walking the road”</w:t>
      </w:r>
      <w:r>
        <w:t xml:space="preserve"> </w:t>
      </w:r>
      <w:r>
        <w:t xml:space="preserve">|</w:t>
      </w:r>
      <w:r>
        <w:t xml:space="preserve"> </w:t>
      </w:r>
      <w:r>
        <w:t xml:space="preserve">“riding the rails,”</w:t>
      </w:r>
      <w:r>
        <w:t xml:space="preserve"> </w:t>
      </w:r>
      <w:r>
        <w:t xml:space="preserve">“carrying the burden,”</w:t>
      </w:r>
      <w:r>
        <w:t xml:space="preserve"> </w:t>
      </w:r>
      <w:r>
        <w:t xml:space="preserve">“crossing the water”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t xml:space="preserve">“the long road”</w:t>
      </w:r>
      <w:r>
        <w:t xml:space="preserve"> </w:t>
      </w:r>
      <w:r>
        <w:t xml:space="preserve">|</w:t>
      </w:r>
      <w:r>
        <w:t xml:space="preserve"> </w:t>
      </w:r>
      <w:r>
        <w:t xml:space="preserve">“the midnight train,”</w:t>
      </w:r>
      <w:r>
        <w:t xml:space="preserve"> </w:t>
      </w:r>
      <w:r>
        <w:t xml:space="preserve">“the lonesome highway,”</w:t>
      </w:r>
      <w:r>
        <w:t xml:space="preserve"> </w:t>
      </w:r>
      <w:r>
        <w:t xml:space="preserve">“the crooked path”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t xml:space="preserve">“down the road”</w:t>
      </w:r>
      <w:r>
        <w:t xml:space="preserve"> </w:t>
      </w:r>
      <w:r>
        <w:t xml:space="preserve">|</w:t>
      </w:r>
      <w:r>
        <w:t xml:space="preserve"> </w:t>
      </w:r>
      <w:r>
        <w:t xml:space="preserve">“down in the valley,”</w:t>
      </w:r>
      <w:r>
        <w:t xml:space="preserve"> </w:t>
      </w:r>
      <w:r>
        <w:t xml:space="preserve">“through the storm,”</w:t>
      </w:r>
      <w:r>
        <w:t xml:space="preserve"> </w:t>
      </w:r>
      <w:r>
        <w:t xml:space="preserve">“past the crossroads”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t xml:space="preserve">“road home”</w:t>
      </w:r>
      <w:r>
        <w:t xml:space="preserve"> </w:t>
      </w:r>
      <w:r>
        <w:t xml:space="preserve">|</w:t>
      </w:r>
      <w:r>
        <w:t xml:space="preserve"> </w:t>
      </w:r>
      <w:r>
        <w:t xml:space="preserve">“the front porch light,”</w:t>
      </w:r>
      <w:r>
        <w:t xml:space="preserve"> </w:t>
      </w:r>
      <w:r>
        <w:t xml:space="preserve">“the old home place,”</w:t>
      </w:r>
      <w:r>
        <w:t xml:space="preserve"> </w:t>
      </w:r>
      <w:r>
        <w:t xml:space="preserve">“where the sweet birds sing”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Instead of</w:t>
      </w:r>
      <w:r>
        <w:rPr>
          <w:b/>
          <w:bCs/>
        </w:rPr>
        <w:t xml:space="preserve"> </w:t>
      </w:r>
      <w:r>
        <w:rPr>
          <w:b/>
          <w:bCs/>
        </w:rPr>
        <w:t xml:space="preserve">“tune”</w:t>
      </w:r>
      <w:r>
        <w:rPr>
          <w:b/>
          <w:bCs/>
        </w:rPr>
        <w:t xml:space="preserve">:</w:t>
      </w:r>
      <w:r>
        <w:t xml:space="preserve"> </w:t>
      </w:r>
      <w:r>
        <w:t xml:space="preserve">| Current | Suggested Alternatives |</w:t>
      </w:r>
      <w:r>
        <w:t xml:space="preserve"> </w:t>
      </w:r>
      <w:r>
        <w:t xml:space="preserve">|———|———————-|</w:t>
      </w:r>
      <w:r>
        <w:t xml:space="preserve"> </w:t>
      </w:r>
      <w:r>
        <w:t xml:space="preserve">|</w:t>
      </w:r>
      <w:r>
        <w:t xml:space="preserve"> </w:t>
      </w:r>
      <w:r>
        <w:t xml:space="preserve">“the old tune”</w:t>
      </w:r>
      <w:r>
        <w:t xml:space="preserve"> </w:t>
      </w:r>
      <w:r>
        <w:t xml:space="preserve">|</w:t>
      </w:r>
      <w:r>
        <w:t xml:space="preserve"> </w:t>
      </w:r>
      <w:r>
        <w:t xml:space="preserve">“the old song,”</w:t>
      </w:r>
      <w:r>
        <w:t xml:space="preserve"> </w:t>
      </w:r>
      <w:r>
        <w:t xml:space="preserve">“the first holler,”</w:t>
      </w:r>
      <w:r>
        <w:t xml:space="preserve"> </w:t>
      </w:r>
      <w:r>
        <w:t xml:space="preserve">“the field cry”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t xml:space="preserve">“singing the tune”</w:t>
      </w:r>
      <w:r>
        <w:t xml:space="preserve"> </w:t>
      </w:r>
      <w:r>
        <w:t xml:space="preserve">|</w:t>
      </w:r>
      <w:r>
        <w:t xml:space="preserve"> </w:t>
      </w:r>
      <w:r>
        <w:t xml:space="preserve">“bending the note,”</w:t>
      </w:r>
      <w:r>
        <w:t xml:space="preserve"> </w:t>
      </w:r>
      <w:r>
        <w:t xml:space="preserve">“crying the verse,”</w:t>
      </w:r>
      <w:r>
        <w:t xml:space="preserve"> </w:t>
      </w:r>
      <w:r>
        <w:t xml:space="preserve">“moaning low”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t xml:space="preserve">“the tune plays on”</w:t>
      </w:r>
      <w:r>
        <w:t xml:space="preserve"> </w:t>
      </w:r>
      <w:r>
        <w:t xml:space="preserve">|</w:t>
      </w:r>
      <w:r>
        <w:t xml:space="preserve"> </w:t>
      </w:r>
      <w:r>
        <w:t xml:space="preserve">“the harp still rings,”</w:t>
      </w:r>
      <w:r>
        <w:t xml:space="preserve"> </w:t>
      </w:r>
      <w:r>
        <w:t xml:space="preserve">“the guitar weeps on,”</w:t>
      </w:r>
      <w:r>
        <w:t xml:space="preserve"> </w:t>
      </w:r>
      <w:r>
        <w:t xml:space="preserve">“the voice echoes”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t xml:space="preserve">“learning the tune”</w:t>
      </w:r>
      <w:r>
        <w:t xml:space="preserve"> </w:t>
      </w:r>
      <w:r>
        <w:t xml:space="preserve">|</w:t>
      </w:r>
      <w:r>
        <w:t xml:space="preserve"> </w:t>
      </w:r>
      <w:r>
        <w:t xml:space="preserve">“catching the rhythm,”</w:t>
      </w:r>
      <w:r>
        <w:t xml:space="preserve"> </w:t>
      </w:r>
      <w:r>
        <w:t xml:space="preserve">“finding the groove,”</w:t>
      </w:r>
      <w:r>
        <w:t xml:space="preserve"> </w:t>
      </w:r>
      <w:r>
        <w:t xml:space="preserve">“hearing the call”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Additional Blues Imagery to Weave 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Water/Rivers</w:t>
      </w:r>
      <w:r>
        <w:t xml:space="preserve">:</w:t>
      </w:r>
      <w:r>
        <w:t xml:space="preserve"> </w:t>
      </w:r>
      <w:r>
        <w:t xml:space="preserve">“crossing Jordan,”</w:t>
      </w:r>
      <w:r>
        <w:t xml:space="preserve"> </w:t>
      </w:r>
      <w:r>
        <w:t xml:space="preserve">“the muddy water,”</w:t>
      </w:r>
      <w:r>
        <w:t xml:space="preserve"> </w:t>
      </w:r>
      <w:r>
        <w:t xml:space="preserve">“the deep river”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Weather/Sky</w:t>
      </w:r>
      <w:r>
        <w:t xml:space="preserve">:</w:t>
      </w:r>
      <w:r>
        <w:t xml:space="preserve"> </w:t>
      </w:r>
      <w:r>
        <w:t xml:space="preserve">“the coming storm,”</w:t>
      </w:r>
      <w:r>
        <w:t xml:space="preserve"> </w:t>
      </w:r>
      <w:r>
        <w:t xml:space="preserve">“first light breaking,”</w:t>
      </w:r>
      <w:r>
        <w:t xml:space="preserve"> </w:t>
      </w:r>
      <w:r>
        <w:t xml:space="preserve">“when the thunder rolls”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Home/Journey</w:t>
      </w:r>
      <w:r>
        <w:t xml:space="preserve">:</w:t>
      </w:r>
      <w:r>
        <w:t xml:space="preserve"> </w:t>
      </w:r>
      <w:r>
        <w:t xml:space="preserve">“the front porch,”</w:t>
      </w:r>
      <w:r>
        <w:t xml:space="preserve"> </w:t>
      </w:r>
      <w:r>
        <w:t xml:space="preserve">“the back door,”</w:t>
      </w:r>
      <w:r>
        <w:t xml:space="preserve"> </w:t>
      </w:r>
      <w:r>
        <w:t xml:space="preserve">“the depot platform”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Music/Sound</w:t>
      </w:r>
      <w:r>
        <w:t xml:space="preserve">:</w:t>
      </w:r>
      <w:r>
        <w:t xml:space="preserve"> </w:t>
      </w:r>
      <w:r>
        <w:t xml:space="preserve">“the moan,”</w:t>
      </w:r>
      <w:r>
        <w:t xml:space="preserve"> </w:t>
      </w:r>
      <w:r>
        <w:t xml:space="preserve">“the cry,”</w:t>
      </w:r>
      <w:r>
        <w:t xml:space="preserve"> </w:t>
      </w:r>
      <w:r>
        <w:t xml:space="preserve">“the shout,”</w:t>
      </w:r>
      <w:r>
        <w:t xml:space="preserve"> </w:t>
      </w:r>
      <w:r>
        <w:t xml:space="preserve">“the hum”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Time/Waiting</w:t>
      </w:r>
      <w:r>
        <w:t xml:space="preserve">:</w:t>
      </w:r>
      <w:r>
        <w:t xml:space="preserve"> </w:t>
      </w:r>
      <w:r>
        <w:t xml:space="preserve">“the midnight hour,”</w:t>
      </w:r>
      <w:r>
        <w:t xml:space="preserve"> </w:t>
      </w:r>
      <w:r>
        <w:t xml:space="preserve">“the break of day,”</w:t>
      </w:r>
      <w:r>
        <w:t xml:space="preserve"> </w:t>
      </w:r>
      <w:r>
        <w:t xml:space="preserve">“the long tonight”</w:t>
      </w:r>
    </w:p>
    <w:p>
      <w:pPr>
        <w:pStyle w:val="BodyText"/>
      </w:pPr>
      <w:r>
        <w:rPr>
          <w:b/>
          <w:bCs/>
        </w:rPr>
        <w:t xml:space="preserve">Example Revision (Chapter 14 transition):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Current</w:t>
      </w:r>
      <w:r>
        <w:t xml:space="preserve">:</w:t>
      </w:r>
      <w:r>
        <w:t xml:space="preserve"> </w:t>
      </w:r>
      <w:r>
        <w:t xml:space="preserve">“Now here’s how to walk the road without stumbling…”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Revised</w:t>
      </w:r>
      <w:r>
        <w:t xml:space="preserve">:</w:t>
      </w:r>
      <w:r>
        <w:t xml:space="preserve"> </w:t>
      </w:r>
      <w:r>
        <w:t xml:space="preserve">“Now here’s how to carry the burden without breaking…”</w:t>
      </w:r>
    </w:p>
    <w:p>
      <w:pPr>
        <w:pStyle w:val="BodyText"/>
      </w:pPr>
      <w:r>
        <w:rPr>
          <w:b/>
          <w:bCs/>
        </w:rPr>
        <w:t xml:space="preserve">Example Revision (Chapter 22 transition):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Current</w:t>
      </w:r>
      <w:r>
        <w:t xml:space="preserve">:</w:t>
      </w:r>
      <w:r>
        <w:t xml:space="preserve"> </w:t>
      </w:r>
      <w:r>
        <w:t xml:space="preserve">“The old tune gets passed down…”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Revised</w:t>
      </w:r>
      <w:r>
        <w:t xml:space="preserve">:</w:t>
      </w:r>
      <w:r>
        <w:t xml:space="preserve"> </w:t>
      </w:r>
      <w:r>
        <w:t xml:space="preserve">“The old song passes hand to hand, like a guitar traded at the crossroads…”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final-project-summary"/>
    <w:p>
      <w:pPr>
        <w:pStyle w:val="Heading2"/>
      </w:pPr>
      <w:r>
        <w:t xml:space="preserve">Final Project Summary</w:t>
      </w:r>
    </w:p>
    <w:bookmarkStart w:id="48" w:name="greatest-strengths-all-28-chapters"/>
    <w:p>
      <w:pPr>
        <w:pStyle w:val="Heading3"/>
      </w:pPr>
      <w:r>
        <w:t xml:space="preserve">Greatest Strengths (All 28 Chapters)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Doctrinal Integrity</w:t>
      </w:r>
      <w:r>
        <w:t xml:space="preserve">: Core Mahāyāna teachings (universal Buddha-nature, skillful means, One Vehicle) are not just preserved but</w:t>
      </w:r>
      <w:r>
        <w:t xml:space="preserve"> </w:t>
      </w:r>
      <w:r>
        <w:rPr>
          <w:i/>
          <w:iCs/>
        </w:rPr>
        <w:t xml:space="preserve">enhanced</w:t>
      </w:r>
      <w:r>
        <w:t xml:space="preserve"> </w:t>
      </w:r>
      <w:r>
        <w:t xml:space="preserve">by the Blues lens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Blues Authenticity</w:t>
      </w:r>
      <w:r>
        <w:t xml:space="preserve">: Genuine vernacular sustained without stereotyping or condescension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Emotional Resonance</w:t>
      </w:r>
      <w:r>
        <w:t xml:space="preserve">: The translation makes the Lotus Sutra</w:t>
      </w:r>
      <w:r>
        <w:t xml:space="preserve"> </w:t>
      </w:r>
      <w:r>
        <w:rPr>
          <w:i/>
          <w:iCs/>
        </w:rPr>
        <w:t xml:space="preserve">felt</w:t>
      </w:r>
      <w:r>
        <w:t xml:space="preserve"> </w:t>
      </w:r>
      <w:r>
        <w:t xml:space="preserve">in a new cultural register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Philological Fidelity</w:t>
      </w:r>
      <w:r>
        <w:t xml:space="preserve">: Key Sanskrit terms handled consistently with thoughtful English/Blues equivalents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Narrative Drive</w:t>
      </w:r>
      <w:r>
        <w:t xml:space="preserve">: The Blues storytelling mode brings new immediacy to familiar parables</w:t>
      </w:r>
    </w:p>
    <w:bookmarkEnd w:id="48"/>
    <w:bookmarkStart w:id="49" w:name="standout-chapters"/>
    <w:p>
      <w:pPr>
        <w:pStyle w:val="Heading3"/>
      </w:pPr>
      <w:r>
        <w:t xml:space="preserve">Standout Chapters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Chapter 3</w:t>
      </w:r>
      <w:r>
        <w:t xml:space="preserve"> </w:t>
      </w:r>
      <w:r>
        <w:t xml:space="preserve">(Burning House): Natural Blues narrative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Chapter 16</w:t>
      </w:r>
      <w:r>
        <w:t xml:space="preserve"> </w:t>
      </w:r>
      <w:r>
        <w:t xml:space="preserve">(Lifespan of Tathāgata): Doctrinal and poetic climax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Chapter 20</w:t>
      </w:r>
      <w:r>
        <w:t xml:space="preserve"> </w:t>
      </w:r>
      <w:r>
        <w:t xml:space="preserve">(Never Disparaging): Embodied practice exemplar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Chapter 25</w:t>
      </w:r>
      <w:r>
        <w:t xml:space="preserve"> </w:t>
      </w:r>
      <w:r>
        <w:t xml:space="preserve">(Avalokiteśvara): Devotional heart fully realized</w:t>
      </w:r>
    </w:p>
    <w:bookmarkEnd w:id="49"/>
    <w:bookmarkStart w:id="50" w:name="remaining-concerns-minor"/>
    <w:p>
      <w:pPr>
        <w:pStyle w:val="Heading3"/>
      </w:pPr>
      <w:r>
        <w:t xml:space="preserve">Remaining Concerns (Minor)</w:t>
      </w:r>
    </w:p>
    <w:p>
      <w:pPr>
        <w:pStyle w:val="Compact"/>
        <w:numPr>
          <w:ilvl w:val="0"/>
          <w:numId w:val="1006"/>
        </w:numPr>
      </w:pPr>
      <w:r>
        <w:t xml:space="preserve">Slight lexical repetition in transitional passages</w:t>
      </w:r>
    </w:p>
    <w:p>
      <w:pPr>
        <w:pStyle w:val="Compact"/>
        <w:numPr>
          <w:ilvl w:val="0"/>
          <w:numId w:val="1006"/>
        </w:numPr>
      </w:pPr>
      <w:r>
        <w:t xml:space="preserve">Devotional elements in Chapter 26 may require accompanying notes for full comprehension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recommendations-for-publication"/>
    <w:p>
      <w:pPr>
        <w:pStyle w:val="Heading2"/>
      </w:pPr>
      <w:r>
        <w:t xml:space="preserve">Recommendations for Publication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Robust Introduction</w:t>
      </w:r>
      <w:r>
        <w:t xml:space="preserve">: Clearly lay out the hermeneutical framework—why the Blues is a valid and powerful lens for the Lotus Sutra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Retain Chapter Notes</w:t>
      </w:r>
      <w:r>
        <w:t xml:space="preserve">: The appended philological notes are crucial for scholarly credibility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Glossary of Terms</w:t>
      </w:r>
      <w:r>
        <w:t xml:space="preserve">: Provide a glossary linking Sanskrit terms to their Blues equivalents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Audio Companion</w:t>
      </w:r>
      <w:r>
        <w:t xml:space="preserve">: This translation</w:t>
      </w:r>
      <w:r>
        <w:t xml:space="preserve"> </w:t>
      </w:r>
      <w:r>
        <w:rPr>
          <w:i/>
          <w:iCs/>
        </w:rPr>
        <w:t xml:space="preserve">demands</w:t>
      </w:r>
      <w:r>
        <w:t xml:space="preserve"> </w:t>
      </w:r>
      <w:r>
        <w:t xml:space="preserve">to be heard—consider professional audio recording with sparse accompaniment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Peer Review</w:t>
      </w:r>
      <w:r>
        <w:t xml:space="preserve">: Circulate to scholars in both Buddhist studies and African American literary/religious studies</w:t>
      </w:r>
    </w:p>
    <w:p>
      <w:r>
        <w:pict>
          <v:rect style="width:0;height:1.5pt" o:hralign="center" o:hrstd="t" o:hr="t"/>
        </w:pict>
      </w:r>
    </w:p>
    <w:bookmarkEnd w:id="52"/>
    <w:bookmarkStart w:id="53" w:name="auditors-closing-statement"/>
    <w:p>
      <w:pPr>
        <w:pStyle w:val="Heading2"/>
      </w:pPr>
      <w:r>
        <w:t xml:space="preserve">Auditor’s Closing Statement</w:t>
      </w:r>
    </w:p>
    <w:p>
      <w:pPr>
        <w:pStyle w:val="BlockText"/>
      </w:pPr>
      <w:r>
        <w:t xml:space="preserve">This project does not merely</w:t>
      </w:r>
      <w:r>
        <w:t xml:space="preserve"> </w:t>
      </w:r>
      <w:r>
        <w:t xml:space="preserve">“translate”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Lotus Sutra</w:t>
      </w:r>
      <w:r>
        <w:t xml:space="preserve">; it performs a genuine</w:t>
      </w:r>
      <w:r>
        <w:t xml:space="preserve"> </w:t>
      </w:r>
      <w:r>
        <w:rPr>
          <w:i/>
          <w:iCs/>
        </w:rPr>
        <w:t xml:space="preserve">transposition</w:t>
      </w:r>
      <w:r>
        <w:t xml:space="preserve">—taking a sublime spiritual melody and playing it in a new, deeply resonant key. It honors the letter and spirit of both source traditions. The entrustment in Chapter 28 is earned: the reader is indeed left with a living, humming truth to carry down the road.</w:t>
      </w:r>
    </w:p>
    <w:p>
      <w:pPr>
        <w:pStyle w:val="FirstParagraph"/>
      </w:pPr>
      <w:r>
        <w:rPr>
          <w:b/>
          <w:bCs/>
        </w:rPr>
        <w:t xml:space="preserve">THE WORK IS READY FOR THE WORLD.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Audit completed by DeepSeek Reasoner MAS</w:t>
      </w:r>
      <w:r>
        <w:br/>
      </w:r>
      <w:r>
        <w:rPr>
          <w:i/>
          <w:iCs/>
        </w:rPr>
        <w:t xml:space="preserve">January 12, 2026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2026-01-12T16:48:46Z</dcterms:created>
  <dcterms:modified xsi:type="dcterms:W3CDTF">2026-01-12T16:48:46Z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