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6C3B" w14:textId="77777777" w:rsidR="00FA7026" w:rsidRDefault="00000000">
      <w:pPr>
        <w:pStyle w:val="Heading1"/>
      </w:pPr>
      <w:bookmarkStart w:id="0" w:name="Xfb04c05abda04e8a02afadf3fdf30fcc516f8a6"/>
      <w:r>
        <w:t>Singing the Dharma True: Vernacular Interpretation as Rigorous Scholarship</w:t>
      </w:r>
    </w:p>
    <w:p w14:paraId="39F6F30B" w14:textId="77777777" w:rsidR="00FA7026" w:rsidRDefault="00CA2DDA">
      <w:r>
        <w:rPr>
          <w:noProof/>
        </w:rPr>
        <w:pict w14:anchorId="2BC4D5D9">
          <v:rect id="_x0000_i1036" alt="" style="width:468pt;height:.05pt;mso-width-percent:0;mso-height-percent:0;mso-width-percent:0;mso-height-percent:0" o:hralign="center" o:hrstd="t" o:hr="t"/>
        </w:pict>
      </w:r>
    </w:p>
    <w:p w14:paraId="51D6BE25" w14:textId="77777777" w:rsidR="00FA7026" w:rsidRDefault="00000000">
      <w:pPr>
        <w:pStyle w:val="FirstParagraph"/>
      </w:pPr>
      <w:r>
        <w:rPr>
          <w:i/>
          <w:iCs/>
        </w:rPr>
        <w:t>[Author information removed for blind review]</w:t>
      </w:r>
    </w:p>
    <w:p w14:paraId="3649606B" w14:textId="77777777" w:rsidR="00FA7026" w:rsidRDefault="00000000">
      <w:pPr>
        <w:pStyle w:val="BodyText"/>
      </w:pPr>
      <w:r>
        <w:rPr>
          <w:b/>
          <w:bCs/>
        </w:rPr>
        <w:t>Word Count:</w:t>
      </w:r>
      <w:r>
        <w:t xml:space="preserve"> approximately 6,600 words</w:t>
      </w:r>
      <w:r>
        <w:br/>
      </w:r>
      <w:r>
        <w:rPr>
          <w:b/>
          <w:bCs/>
        </w:rPr>
        <w:t>Submitted to:</w:t>
      </w:r>
      <w:r>
        <w:t xml:space="preserve"> </w:t>
      </w:r>
      <w:r>
        <w:rPr>
          <w:i/>
          <w:iCs/>
        </w:rPr>
        <w:t>Buddhist-Christian Studies</w:t>
      </w:r>
    </w:p>
    <w:p w14:paraId="3804AD95" w14:textId="77777777" w:rsidR="00FA7026" w:rsidRDefault="00CA2DDA">
      <w:r>
        <w:rPr>
          <w:noProof/>
        </w:rPr>
        <w:pict w14:anchorId="77EE5C22">
          <v:rect id="_x0000_i1035" alt="" style="width:468pt;height:.05pt;mso-width-percent:0;mso-height-percent:0;mso-width-percent:0;mso-height-percent:0" o:hralign="center" o:hrstd="t" o:hr="t"/>
        </w:pict>
      </w:r>
    </w:p>
    <w:p w14:paraId="2683F643" w14:textId="77777777" w:rsidR="00FA7026" w:rsidRDefault="00000000">
      <w:pPr>
        <w:pStyle w:val="Heading2"/>
      </w:pPr>
      <w:bookmarkStart w:id="1" w:name="abstract"/>
      <w:r>
        <w:t>Abstract</w:t>
      </w:r>
    </w:p>
    <w:p w14:paraId="2F8B269B" w14:textId="77777777" w:rsidR="00FA7026" w:rsidRDefault="00000000">
      <w:pPr>
        <w:pStyle w:val="FirstParagraph"/>
      </w:pPr>
      <w:r>
        <w:t>This article presents a methodology for validating vernacular interpretations of Buddhist sacred texts, using as its primary example a Blues/Gospel English rendering of the Lotus Sutra and Heart Sutra. The central question—“How do we know when a vernacular interpretation remains faithful to the original teaching?”—is addressed through a three-layer validation process: (1) AI-powered semantic verification comparing source texts with interpretations, (2) scholarly critique ensuring doctrinal accuracy, and (3) vernacular review confirming cultural authenticity. This multi-agent methodology, tested on translations from Classical Chinese Buddhist texts into African American vernacular English, demonstrates that semantic meaning can be preserved across radical tonal divergence. The article argues that vernacular interpretation, when rigorously validated and transparent about its creative choices, constitutes authentic dharma transmission—following the precedent of Kumārajīva, who dressed Sanskrit wisdom in Chinese clothes, and Luther, who made Scripture speak “as the mother in the home speaks.” The Blues tradition, with its deep engagement with suffering and liberation, provides a particularly appropriate American vehicle for Buddhist teaching.</w:t>
      </w:r>
    </w:p>
    <w:p w14:paraId="0854DFFA" w14:textId="77777777" w:rsidR="00FA7026" w:rsidRDefault="00000000">
      <w:pPr>
        <w:pStyle w:val="BodyText"/>
      </w:pPr>
      <w:r>
        <w:rPr>
          <w:b/>
          <w:bCs/>
        </w:rPr>
        <w:t>Keywords</w:t>
      </w:r>
      <w:r>
        <w:t>: Translation methodology, vernacular interpretation, Buddhist texts, African American religious traditions, Blues, skillful means, Lotus Sutra, Heart Sutra</w:t>
      </w:r>
    </w:p>
    <w:p w14:paraId="3B21413A" w14:textId="77777777" w:rsidR="00FA7026" w:rsidRDefault="00CA2DDA">
      <w:r>
        <w:rPr>
          <w:noProof/>
        </w:rPr>
        <w:pict w14:anchorId="1B2CEC0B">
          <v:rect id="_x0000_i1034" alt="" style="width:468pt;height:.05pt;mso-width-percent:0;mso-height-percent:0;mso-width-percent:0;mso-height-percent:0" o:hralign="center" o:hrstd="t" o:hr="t"/>
        </w:pict>
      </w:r>
    </w:p>
    <w:p w14:paraId="05D02BE2" w14:textId="77777777" w:rsidR="00FA7026" w:rsidRDefault="00000000">
      <w:pPr>
        <w:pStyle w:val="Heading2"/>
      </w:pPr>
      <w:bookmarkStart w:id="2" w:name="introduction"/>
      <w:bookmarkEnd w:id="1"/>
      <w:r>
        <w:t>Introduction</w:t>
      </w:r>
    </w:p>
    <w:p w14:paraId="1E304077" w14:textId="77777777" w:rsidR="00FA7026" w:rsidRDefault="00000000">
      <w:pPr>
        <w:pStyle w:val="FirstParagraph"/>
      </w:pPr>
      <w:r>
        <w:t xml:space="preserve">Buddhist texts in English have a peculiar problem. They are technically in our language, yet they often remain inaccessible—not because of vocabulary, but because of </w:t>
      </w:r>
      <w:r>
        <w:rPr>
          <w:i/>
          <w:iCs/>
        </w:rPr>
        <w:t>register</w:t>
      </w:r>
      <w:r>
        <w:t xml:space="preserve">. The elevated, formal, slightly archaic tone of most Buddhist translations creates distance between the reader and the teaching. We can understand the words, but we struggle to </w:t>
      </w:r>
      <w:r>
        <w:rPr>
          <w:i/>
          <w:iCs/>
        </w:rPr>
        <w:t>feel</w:t>
      </w:r>
      <w:r>
        <w:t xml:space="preserve"> them. The dharma, which in its original contexts was spoken in the vernacular, arrives in English dressed in academic robes.</w:t>
      </w:r>
    </w:p>
    <w:p w14:paraId="3C25D405" w14:textId="77777777" w:rsidR="00FA7026" w:rsidRDefault="00000000">
      <w:pPr>
        <w:pStyle w:val="BodyText"/>
      </w:pPr>
      <w:r>
        <w:lastRenderedPageBreak/>
        <w:t>This essay argues for a different approach: vernacular interpretation that prioritizes accessibility while maintaining doctrinal integrity. But such an approach immediately raises a critical question: How do we know when a vernacular interpretation crosses the line from legitimate adaptation to distortion? How do we validate that the “spirit” of the teaching has been preserved even when the “letter” has been deliberately altered?</w:t>
      </w:r>
    </w:p>
    <w:p w14:paraId="1243A5E7" w14:textId="77777777" w:rsidR="00FA7026" w:rsidRDefault="00000000">
      <w:pPr>
        <w:pStyle w:val="BodyText"/>
      </w:pPr>
      <w:r>
        <w:t>The answer, I propose, lies in methodology. A rigorous process of validation—using AI verification, scholarly review, and vernacular critique—can demonstrate whether a creative interpretation remains faithful to its source. This article presents such a methodology, developed through the creation of African American vernacular (specifically Blues and Gospel register) interpretations of the Lotus Sutra, Heart Sutra, and other canonical Buddhist texts.</w:t>
      </w:r>
    </w:p>
    <w:p w14:paraId="4840397A" w14:textId="77777777" w:rsidR="00FA7026" w:rsidRDefault="00000000">
      <w:pPr>
        <w:pStyle w:val="Heading3"/>
      </w:pPr>
      <w:bookmarkStart w:id="3" w:name="the-precedent-of-kumārajīva"/>
      <w:r>
        <w:t>The Precedent of Kumārajīva</w:t>
      </w:r>
    </w:p>
    <w:p w14:paraId="62E9DDC0" w14:textId="77777777" w:rsidR="00FA7026" w:rsidRDefault="00000000">
      <w:pPr>
        <w:pStyle w:val="FirstParagraph"/>
      </w:pPr>
      <w:r>
        <w:t>When Kumārajīva (344-413 CE) translated the Lotus Sutra from Sanskrit into Chinese, he made what his contemporaries considered radical choices. He did not produce word-for-word translations but rather sense-for-sense renderings that prioritized meaning and readability over literal fidelity. His Chinese Lotus Sutra became the definitive version for East Asian Buddhism—not despite his interpretive freedom, but because of it. He understood that translation is always, at some level, interpretation.</w:t>
      </w:r>
    </w:p>
    <w:p w14:paraId="40ED0630" w14:textId="77777777" w:rsidR="00FA7026" w:rsidRDefault="00000000">
      <w:pPr>
        <w:pStyle w:val="BodyText"/>
      </w:pPr>
      <w:r>
        <w:t>The question for contemporary translators is not whether to interpret—we have no choice—but how to interpret responsibly. What might it mean to dress the dharma in “Blues clothes” as Kumārajīva dressed it in Chinese clothes?</w:t>
      </w:r>
    </w:p>
    <w:p w14:paraId="60132771" w14:textId="77777777" w:rsidR="00FA7026" w:rsidRDefault="00000000">
      <w:pPr>
        <w:pStyle w:val="Heading3"/>
      </w:pPr>
      <w:bookmarkStart w:id="4" w:name="the-present-contribution"/>
      <w:bookmarkEnd w:id="3"/>
      <w:r>
        <w:t>The Present Contribution</w:t>
      </w:r>
    </w:p>
    <w:p w14:paraId="59DD093E" w14:textId="77777777" w:rsidR="00FA7026" w:rsidRDefault="00000000">
      <w:pPr>
        <w:pStyle w:val="FirstParagraph"/>
      </w:pPr>
      <w:r>
        <w:t>This article proceeds in five sections. First, I examine historical precedents for vernacular translation of sacred texts, from Luther’s German Bible to Buddhist translation traditions. Second, I argue for the Blues tradition as a legitimate vehicle for dharma transmission, identifying structural and epistemological parallels between Blues wisdom and Buddhist teaching. Third, I present the multi-layer validation methodology developed for this project. Fourth, I offer case studies of specific translation choices, demonstrating how the methodology works in practice. Finally, I address theological objections and argue that vernacular interpretation, properly validated, constitutes authentic transmission.</w:t>
      </w:r>
    </w:p>
    <w:p w14:paraId="0FB87EA5" w14:textId="77777777" w:rsidR="00FA7026" w:rsidRDefault="00CA2DDA">
      <w:r>
        <w:rPr>
          <w:noProof/>
        </w:rPr>
        <w:pict w14:anchorId="5F824A92">
          <v:rect id="_x0000_i1033" alt="" style="width:468pt;height:.05pt;mso-width-percent:0;mso-height-percent:0;mso-width-percent:0;mso-height-percent:0" o:hralign="center" o:hrstd="t" o:hr="t"/>
        </w:pict>
      </w:r>
    </w:p>
    <w:p w14:paraId="33DF41BB" w14:textId="77777777" w:rsidR="00FA7026" w:rsidRDefault="00000000">
      <w:pPr>
        <w:pStyle w:val="Heading2"/>
      </w:pPr>
      <w:bookmarkStart w:id="5" w:name="Xd2288a563fa531363685cfe5822c6d00c25a4e7"/>
      <w:bookmarkEnd w:id="2"/>
      <w:bookmarkEnd w:id="4"/>
      <w:r>
        <w:t>1. Historical Precedents for Vernacular Translation</w:t>
      </w:r>
    </w:p>
    <w:p w14:paraId="16E968D8" w14:textId="77777777" w:rsidR="00FA7026" w:rsidRDefault="00000000">
      <w:pPr>
        <w:pStyle w:val="FirstParagraph"/>
      </w:pPr>
      <w:r>
        <w:t>The translation of sacred texts into vernacular languages has always been controversial—and always transformative. Each major shift in translation philosophy has opened scripture to new communities while drawing criticism from guardians of tradition.</w:t>
      </w:r>
    </w:p>
    <w:p w14:paraId="1367EC01" w14:textId="77777777" w:rsidR="00FA7026" w:rsidRDefault="00000000">
      <w:pPr>
        <w:pStyle w:val="Heading3"/>
      </w:pPr>
      <w:bookmarkStart w:id="6" w:name="the-western-tradition"/>
      <w:r>
        <w:lastRenderedPageBreak/>
        <w:t>1.1 The Western Tradition</w:t>
      </w:r>
    </w:p>
    <w:p w14:paraId="14D5AB6C" w14:textId="77777777" w:rsidR="00FA7026" w:rsidRDefault="00000000">
      <w:pPr>
        <w:pStyle w:val="FirstParagraph"/>
      </w:pPr>
      <w:r>
        <w:t>Martin Luther’s 1534 German Bible exemplifies the vernacular revolution. Luther explicitly rejected the elevated Latin of the Vulgate in favor of everyday speech. “We must ask the mother in the home, the children on the street, the common man in the marketplace,” he wrote, “and look them in the mouth, how they speak, and afterwards translate; then they will understand it and see that one speaks German with them.”</w:t>
      </w:r>
      <w:r>
        <w:rPr>
          <w:rStyle w:val="FootnoteReference"/>
        </w:rPr>
        <w:footnoteReference w:id="1"/>
      </w:r>
    </w:p>
    <w:p w14:paraId="641E0588" w14:textId="77777777" w:rsidR="00FA7026" w:rsidRDefault="00000000">
      <w:pPr>
        <w:pStyle w:val="BodyText"/>
      </w:pPr>
      <w:r>
        <w:t>Luther’s principle—that translation should mirror how ordinary people actually speak—was revolutionary. It democratized access to scripture while drawing fierce criticism from those who believed sacred texts required sacred language.</w:t>
      </w:r>
    </w:p>
    <w:p w14:paraId="6EC70E31" w14:textId="77777777" w:rsidR="00FA7026" w:rsidRDefault="00000000">
      <w:pPr>
        <w:pStyle w:val="BodyText"/>
      </w:pPr>
      <w:r>
        <w:t>William Tyndale (1526) sought to make the Bible accessible to “the ploughboy”—to ordinary workers in the fields. His translation philosophy prioritized comprehension over formality, and his influence on English prose style persists to this day. Like Luther, Tyndale understood that accessibility was itself a theological value.</w:t>
      </w:r>
    </w:p>
    <w:p w14:paraId="65785B32" w14:textId="77777777" w:rsidR="00FA7026" w:rsidRDefault="00000000">
      <w:pPr>
        <w:pStyle w:val="Heading3"/>
      </w:pPr>
      <w:bookmarkStart w:id="7" w:name="the-buddhist-tradition"/>
      <w:bookmarkEnd w:id="6"/>
      <w:r>
        <w:t>1.2 The Buddhist Tradition</w:t>
      </w:r>
    </w:p>
    <w:p w14:paraId="554F6E7F" w14:textId="77777777" w:rsidR="00FA7026" w:rsidRDefault="00000000">
      <w:pPr>
        <w:pStyle w:val="FirstParagraph"/>
      </w:pPr>
      <w:r>
        <w:t>Buddhist translation has its own rich history of vernacular adaptation. The Buddha himself, according to tradition, rejected the suggestion that his teachings be preserved in Sanskrit (the “refined” language of the Brahmins) and instead permitted transmission in local dialects. This choice—to prioritize accessibility over prestige—set a precedent that echoes through Buddhist history.</w:t>
      </w:r>
    </w:p>
    <w:p w14:paraId="634ED61A" w14:textId="77777777" w:rsidR="00FA7026" w:rsidRDefault="00000000">
      <w:pPr>
        <w:pStyle w:val="BodyText"/>
      </w:pPr>
      <w:r>
        <w:t>Kumārajīva’s Chinese translations (early 5th century) exemplify skillful adaptation. Working with teams of scholar-monks, Kumārajīva rendered Indian Buddhist texts into readable Chinese prose. His translations were not mechanical; they were interpretive acts that made foreign concepts comprehensible within Chinese philosophical categories. Jan Nattier notes that Kumārajīva often simplified complex Indian Buddhist arguments, prioritizing “the general meaning” over technical precision.</w:t>
      </w:r>
      <w:r>
        <w:rPr>
          <w:rStyle w:val="FootnoteReference"/>
        </w:rPr>
        <w:footnoteReference w:id="2"/>
      </w:r>
    </w:p>
    <w:p w14:paraId="627886B9" w14:textId="77777777" w:rsidR="00FA7026" w:rsidRDefault="00000000">
      <w:pPr>
        <w:pStyle w:val="BodyText"/>
      </w:pPr>
      <w:r>
        <w:t>The Japanese tradition continued this adaptive approach. When Pure Land Buddhism spread among ordinary Japanese, teachers like Shinran (1173-1263) wrote in vernacular Japanese rather than Classical Chinese, understanding that dharma must speak in the listener’s mother tongue.</w:t>
      </w:r>
    </w:p>
    <w:p w14:paraId="44D55AE5" w14:textId="77777777" w:rsidR="00FA7026" w:rsidRDefault="00000000">
      <w:pPr>
        <w:pStyle w:val="Heading3"/>
      </w:pPr>
      <w:bookmarkStart w:id="8" w:name="the-missing-voice"/>
      <w:bookmarkEnd w:id="7"/>
      <w:r>
        <w:lastRenderedPageBreak/>
        <w:t>1.3 The Missing Voice</w:t>
      </w:r>
    </w:p>
    <w:p w14:paraId="480CEE6A" w14:textId="77777777" w:rsidR="00FA7026" w:rsidRDefault="00000000">
      <w:pPr>
        <w:pStyle w:val="FirstParagraph"/>
      </w:pPr>
      <w:r>
        <w:t>Yet within English Buddhist translation, one linguistic register has been notably absent: African American vernacular. Despite the rich spiritual wisdom embedded in Blues, Gospel, and Black preaching traditions, these voices have rarely been employed to transmit Buddhist teaching. This absence matters for several reasons.</w:t>
      </w:r>
    </w:p>
    <w:p w14:paraId="33232F93" w14:textId="77777777" w:rsidR="00FA7026" w:rsidRDefault="00000000">
      <w:pPr>
        <w:pStyle w:val="BodyText"/>
      </w:pPr>
      <w:r>
        <w:t>First, it reflects a stark demographic reality. According to the Pew Research Center’s Religious Landscape Study, while African Americans constitute roughly 13% of the U.S. population and are the most religiously committed racial group in the nation, they make up only 3% of American Buddhists.</w:t>
      </w:r>
      <w:r>
        <w:rPr>
          <w:rStyle w:val="FootnoteReference"/>
        </w:rPr>
        <w:footnoteReference w:id="3"/>
      </w:r>
      <w:r>
        <w:t xml:space="preserve"> By contrast, white practitioners constitute 44% of the American Buddhist population—a figure that rises significantly higher in non-immigrant “convert” communities. The racial stratification of American Buddhism is not merely a social accident; it is partly a linguistic consequence. When the Dharma speaks primarily in the register of the white academic elite, it implicitly selects its audience.</w:t>
      </w:r>
    </w:p>
    <w:p w14:paraId="67E4F6C9" w14:textId="77777777" w:rsidR="00FA7026" w:rsidRDefault="00000000">
      <w:pPr>
        <w:pStyle w:val="BodyText"/>
      </w:pPr>
      <w:r>
        <w:t>Second, it limits accessibility. African American vernacular English is a distinct linguistic system with its own grammar, rhetoric, and aesthetic values. Translations pitched to academic or mainstream registers may not resonate with communities for whom this vernacular is home.</w:t>
      </w:r>
    </w:p>
    <w:p w14:paraId="55DC7BCC" w14:textId="77777777" w:rsidR="00FA7026" w:rsidRDefault="00000000">
      <w:pPr>
        <w:pStyle w:val="BodyText"/>
      </w:pPr>
      <w:r>
        <w:t>Third, it wastes an opportunity. The Blues tradition has developed sophisticated responses to suffering that parallel Buddhist insights in striking ways. A vernacular interpretation that draws on this wisdom is not “dumbing down” the dharma but rather enriching it with additional cultural resources.</w:t>
      </w:r>
    </w:p>
    <w:p w14:paraId="068627D7" w14:textId="77777777" w:rsidR="00FA7026" w:rsidRDefault="00000000">
      <w:pPr>
        <w:pStyle w:val="BodyText"/>
      </w:pPr>
      <w:r>
        <w:t>Fourth, it matters for the future of Western Buddhism. If Buddhism in the West is to move beyond predominantly white, middle-class communities, it must find expression in diverse linguistic registers. Vernacular interpretation is not optional; it is essential for genuine transmission.</w:t>
      </w:r>
    </w:p>
    <w:p w14:paraId="63B317B4" w14:textId="77777777" w:rsidR="00FA7026" w:rsidRDefault="00000000">
      <w:pPr>
        <w:pStyle w:val="Heading3"/>
      </w:pPr>
      <w:bookmarkStart w:id="9" w:name="X64e4f4aa7d0676823f08e8340c5c53c0f9a2987"/>
      <w:bookmarkEnd w:id="8"/>
      <w:r>
        <w:t>1.4 Theoretical Framework: Dynamic Equivalence in Sacred Translation</w:t>
      </w:r>
    </w:p>
    <w:p w14:paraId="68A141DC" w14:textId="77777777" w:rsidR="00FA7026" w:rsidRDefault="00000000">
      <w:pPr>
        <w:pStyle w:val="FirstParagraph"/>
      </w:pPr>
      <w:r>
        <w:t xml:space="preserve">The theoretical foundation for vernacular translation of Buddhist scripture rests on a distinction drawn by translation theorist Eugene A. Nida: the difference between </w:t>
      </w:r>
      <w:r>
        <w:rPr>
          <w:i/>
          <w:iCs/>
        </w:rPr>
        <w:t>formal equivalence</w:t>
      </w:r>
      <w:r>
        <w:t xml:space="preserve"> and </w:t>
      </w:r>
      <w:r>
        <w:rPr>
          <w:i/>
          <w:iCs/>
        </w:rPr>
        <w:t>dynamic equivalence</w:t>
      </w:r>
      <w:r>
        <w:t>.</w:t>
      </w:r>
      <w:r>
        <w:rPr>
          <w:rStyle w:val="FootnoteReference"/>
        </w:rPr>
        <w:footnoteReference w:id="4"/>
      </w:r>
    </w:p>
    <w:p w14:paraId="0D687D3A" w14:textId="77777777" w:rsidR="00FA7026" w:rsidRDefault="00000000">
      <w:pPr>
        <w:pStyle w:val="BodyText"/>
      </w:pPr>
      <w:r>
        <w:lastRenderedPageBreak/>
        <w:t>Formal equivalence seeks to replicate the source text as closely as possible—word for word, structure for structure, maintaining the original form even when it creates awkwardness or obscurity in the target language. This approach privileges fidelity to the original text’s surface features: its vocabulary, syntax, and literary conventions.</w:t>
      </w:r>
    </w:p>
    <w:p w14:paraId="7C98C78C" w14:textId="77777777" w:rsidR="00FA7026" w:rsidRDefault="00000000">
      <w:pPr>
        <w:pStyle w:val="BodyText"/>
      </w:pPr>
      <w:r>
        <w:t xml:space="preserve">Dynamic equivalence, by contrast, seeks to produce in the target audience the same </w:t>
      </w:r>
      <w:r>
        <w:rPr>
          <w:i/>
          <w:iCs/>
        </w:rPr>
        <w:t>effect</w:t>
      </w:r>
      <w:r>
        <w:t xml:space="preserve"> that the original text produced in its original audience. If the source text was immediately accessible to ordinary people, the translation should be immediately accessible. If the original was poetic and emotionally resonant, the translation should achieve the same emotional resonance—even if this requires significant departure from the source text’s form.</w:t>
      </w:r>
    </w:p>
    <w:p w14:paraId="0C2C4FE1" w14:textId="77777777" w:rsidR="00FA7026" w:rsidRDefault="00000000">
      <w:pPr>
        <w:pStyle w:val="BodyText"/>
      </w:pPr>
      <w:r>
        <w:t>Buddhist translation in the West has overwhelmingly privileged formal equivalence. Translators have labored to render Sanskrit terms accurately, to preserve technical vocabulary, to maintain the literary registers of ancient texts. The result is translations that are accurate but culturally foreign—texts that read as scholarly documents rather than living spiritual teachings. A reader encountering the Lotus Sutra in most English translations meets not the teaching itself but the apparatus of scholarship: footnotes, technical terms, and carefully preserved archaisms.</w:t>
      </w:r>
    </w:p>
    <w:p w14:paraId="1B01348C" w14:textId="77777777" w:rsidR="00FA7026" w:rsidRDefault="00000000">
      <w:pPr>
        <w:pStyle w:val="BodyText"/>
      </w:pPr>
      <w:r>
        <w:t xml:space="preserve">This formal equivalence approach has a theological cost. The Buddha himself was a dynamic equivalence teacher. Buddhist texts consistently describe the Buddha adapting his teaching to the capacities of his hearers—speaking to farmers in the language of farming, to merchants in the language of commerce, to philosophers in technical terminology. The Lotus Sutra’s central teaching of </w:t>
      </w:r>
      <w:r>
        <w:rPr>
          <w:i/>
          <w:iCs/>
        </w:rPr>
        <w:t>upāya</w:t>
      </w:r>
      <w:r>
        <w:t xml:space="preserve"> (skillful means) is precisely this: the Buddha uses whatever language, metaphor, or teaching device will most effectively reach his audience. To translate the Buddha’s words into English that no ordinary person speaks is to violate the very principle the Buddha taught.</w:t>
      </w:r>
    </w:p>
    <w:p w14:paraId="18498F1E" w14:textId="77777777" w:rsidR="00FA7026" w:rsidRDefault="00000000">
      <w:pPr>
        <w:pStyle w:val="BodyText"/>
      </w:pPr>
      <w:r>
        <w:t>The Blues Lotus Sutra represents a commitment to dynamic equivalence. The goal is not to reproduce the surface features of Kumārajīva’s Classical Chinese or the Sanskrit original but to produce in contemporary African-American readers the same effect the Buddha produced in his original audience: immediate recognition, emotional resonance, and spiritual transformation. When the Buddha spoke to his audience, they did not reach for dictionaries. When the Blues Lotus Sutra speaks, its audience should not either.</w:t>
      </w:r>
    </w:p>
    <w:p w14:paraId="59042479" w14:textId="77777777" w:rsidR="00FA7026" w:rsidRDefault="00000000">
      <w:pPr>
        <w:pStyle w:val="BodyText"/>
      </w:pPr>
      <w:r>
        <w:t>This is not a claim that dynamic equivalence is always superior to formal equivalence. Scholarly translations serve essential functions: they preserve textual accuracy, enable academic study, and provide the foundation from which vernacular translations can work. But for the task of spiritual transmission—for making the Dharma available as a living teaching—dynamic equivalence is not merely permitted; it is required. The Buddha’s own methodology demands it.</w:t>
      </w:r>
    </w:p>
    <w:p w14:paraId="0EF8271A" w14:textId="77777777" w:rsidR="00FA7026" w:rsidRDefault="00CA2DDA">
      <w:r>
        <w:rPr>
          <w:noProof/>
        </w:rPr>
        <w:pict w14:anchorId="19C158CD">
          <v:rect id="_x0000_i1032" alt="" style="width:468pt;height:.05pt;mso-width-percent:0;mso-height-percent:0;mso-width-percent:0;mso-height-percent:0" o:hralign="center" o:hrstd="t" o:hr="t"/>
        </w:pict>
      </w:r>
    </w:p>
    <w:p w14:paraId="6100CE8F" w14:textId="77777777" w:rsidR="00FA7026" w:rsidRDefault="00000000">
      <w:pPr>
        <w:pStyle w:val="Heading2"/>
      </w:pPr>
      <w:bookmarkStart w:id="10" w:name="the-blues-tradition-as-dharma-vehicle"/>
      <w:bookmarkEnd w:id="5"/>
      <w:bookmarkEnd w:id="9"/>
      <w:r>
        <w:lastRenderedPageBreak/>
        <w:t>2. The Blues Tradition as Dharma Vehicle</w:t>
      </w:r>
    </w:p>
    <w:p w14:paraId="7701340A" w14:textId="77777777" w:rsidR="00FA7026" w:rsidRDefault="00000000">
      <w:pPr>
        <w:pStyle w:val="FirstParagraph"/>
      </w:pPr>
      <w:r>
        <w:t>Why Blues? Of all possible vernacular registers, why choose this particular tradition as a vehicle for Buddhist teaching?</w:t>
      </w:r>
    </w:p>
    <w:p w14:paraId="043659A6" w14:textId="77777777" w:rsidR="00FA7026" w:rsidRDefault="00000000">
      <w:pPr>
        <w:pStyle w:val="BodyText"/>
      </w:pPr>
      <w:r>
        <w:t>The answer lies in deep structural and epistemological parallels between Blues wisdom and Buddhist insight. Both traditions begin with an unflinching acknowledgment of suffering. Both develop sophisticated practices for engaging suffering rather than avoiding it. Both understand that liberation comes not through denial but through truth-telling.</w:t>
      </w:r>
    </w:p>
    <w:p w14:paraId="3419EC14" w14:textId="77777777" w:rsidR="00FA7026" w:rsidRDefault="00000000">
      <w:pPr>
        <w:pStyle w:val="Heading3"/>
      </w:pPr>
      <w:bookmarkStart w:id="11" w:name="parallel-epistemologies"/>
      <w:r>
        <w:t>2.1 Parallel Epistemologies</w:t>
      </w:r>
    </w:p>
    <w:p w14:paraId="61828CA3" w14:textId="77777777" w:rsidR="00FA7026" w:rsidRDefault="00000000">
      <w:pPr>
        <w:pStyle w:val="FirstParagraph"/>
      </w:pPr>
      <w:r>
        <w:t xml:space="preserve">The First Noble Truth states that life involves </w:t>
      </w:r>
      <w:r>
        <w:rPr>
          <w:i/>
          <w:iCs/>
        </w:rPr>
        <w:t>dukkha</w:t>
      </w:r>
      <w:r>
        <w:t>—suffering, unsatisfactoriness, dis-ease. This is not pessimism but diagnosis. Before healing can begin, the illness must be named.</w:t>
      </w:r>
    </w:p>
    <w:p w14:paraId="685A2D18" w14:textId="77777777" w:rsidR="00FA7026" w:rsidRDefault="00000000">
      <w:pPr>
        <w:pStyle w:val="BodyText"/>
      </w:pPr>
      <w:r>
        <w:t>The Blues proceeds from identical ground. As Ralph Ellison observed, the Blues is “an impulse to keep the painful details and episodes of a brutal experience alive in one’s aching consciousness, to finger its jagged grain, and to transcend it, not by the consolation of philosophy but by squeezing from it a near-tragic, near-comic lyricism.”</w:t>
      </w:r>
      <w:r>
        <w:rPr>
          <w:rStyle w:val="FootnoteReference"/>
        </w:rPr>
        <w:footnoteReference w:id="5"/>
      </w:r>
    </w:p>
    <w:p w14:paraId="6680D06D" w14:textId="77777777" w:rsidR="00FA7026" w:rsidRDefault="00000000">
      <w:pPr>
        <w:pStyle w:val="BodyText"/>
      </w:pPr>
      <w:r>
        <w:t>Both traditions reject the comforting lie that everything is fine. Both insist that we look clearly at what is. Muddy Waters singing “I got my mojo working, but it just won’t work on you” and the Buddha teaching that “attachment leads to suffering” are making cognate observations about the nature of desire and disappointment.</w:t>
      </w:r>
    </w:p>
    <w:p w14:paraId="76C8D636" w14:textId="77777777" w:rsidR="00FA7026" w:rsidRDefault="00000000">
      <w:pPr>
        <w:pStyle w:val="BodyText"/>
      </w:pPr>
      <w:r>
        <w:t>Cornel West, in his reflections on Blues philosophy, notes that the tradition embodies a “tragicomic sensibility”—the capacity to stare at catastrophe and nevertheless find grounds for joy.</w:t>
      </w:r>
      <w:r>
        <w:rPr>
          <w:rStyle w:val="FootnoteReference"/>
        </w:rPr>
        <w:footnoteReference w:id="6"/>
      </w:r>
      <w:r>
        <w:t xml:space="preserve"> This parallels the Buddha’s claim that looking clearly at suffering is not depressing but liberating. Truth, even painful truth, sets us free.</w:t>
      </w:r>
    </w:p>
    <w:p w14:paraId="11CED60C" w14:textId="77777777" w:rsidR="00FA7026" w:rsidRDefault="00000000">
      <w:pPr>
        <w:pStyle w:val="Heading3"/>
      </w:pPr>
      <w:bookmarkStart w:id="12" w:name="structural-parallels"/>
      <w:bookmarkEnd w:id="11"/>
      <w:r>
        <w:t>2.2 Structural Parallels</w:t>
      </w:r>
    </w:p>
    <w:p w14:paraId="46F64A93" w14:textId="77777777" w:rsidR="00FA7026" w:rsidRDefault="00000000">
      <w:pPr>
        <w:pStyle w:val="FirstParagraph"/>
      </w:pPr>
      <w:r>
        <w:t>Beyond epistemological kinship, Blues and Buddhist discourse share structural features:</w:t>
      </w:r>
    </w:p>
    <w:tbl>
      <w:tblPr>
        <w:tblStyle w:val="Table"/>
        <w:tblW w:w="5000" w:type="pct"/>
        <w:tblLayout w:type="fixed"/>
        <w:tblLook w:val="0020" w:firstRow="1" w:lastRow="0" w:firstColumn="0" w:lastColumn="0" w:noHBand="0" w:noVBand="0"/>
      </w:tblPr>
      <w:tblGrid>
        <w:gridCol w:w="4225"/>
        <w:gridCol w:w="5351"/>
      </w:tblGrid>
      <w:tr w:rsidR="00FA7026" w14:paraId="495AE353" w14:textId="77777777" w:rsidTr="00FA7026">
        <w:trPr>
          <w:cnfStyle w:val="100000000000" w:firstRow="1" w:lastRow="0" w:firstColumn="0" w:lastColumn="0" w:oddVBand="0" w:evenVBand="0" w:oddHBand="0" w:evenHBand="0" w:firstRowFirstColumn="0" w:firstRowLastColumn="0" w:lastRowFirstColumn="0" w:lastRowLastColumn="0"/>
          <w:tblHeader/>
        </w:trPr>
        <w:tc>
          <w:tcPr>
            <w:tcW w:w="3494" w:type="dxa"/>
          </w:tcPr>
          <w:p w14:paraId="7197B66D" w14:textId="77777777" w:rsidR="00FA7026" w:rsidRDefault="00000000">
            <w:pPr>
              <w:pStyle w:val="Compact"/>
            </w:pPr>
            <w:r>
              <w:t>Blues Element</w:t>
            </w:r>
          </w:p>
        </w:tc>
        <w:tc>
          <w:tcPr>
            <w:tcW w:w="4425" w:type="dxa"/>
          </w:tcPr>
          <w:p w14:paraId="643E694F" w14:textId="77777777" w:rsidR="00FA7026" w:rsidRDefault="00000000">
            <w:pPr>
              <w:pStyle w:val="Compact"/>
            </w:pPr>
            <w:r>
              <w:t>Buddhist Parallel</w:t>
            </w:r>
          </w:p>
        </w:tc>
      </w:tr>
      <w:tr w:rsidR="00FA7026" w14:paraId="135EDC9C" w14:textId="77777777">
        <w:tc>
          <w:tcPr>
            <w:tcW w:w="3494" w:type="dxa"/>
          </w:tcPr>
          <w:p w14:paraId="3ECFC902" w14:textId="77777777" w:rsidR="00FA7026" w:rsidRDefault="00000000">
            <w:pPr>
              <w:pStyle w:val="Compact"/>
            </w:pPr>
            <w:r>
              <w:t>Call and Response</w:t>
            </w:r>
          </w:p>
        </w:tc>
        <w:tc>
          <w:tcPr>
            <w:tcW w:w="4425" w:type="dxa"/>
          </w:tcPr>
          <w:p w14:paraId="445F341C" w14:textId="77777777" w:rsidR="00FA7026" w:rsidRDefault="00000000">
            <w:pPr>
              <w:pStyle w:val="Compact"/>
            </w:pPr>
            <w:r>
              <w:t>Teacher-Student Dialogue</w:t>
            </w:r>
          </w:p>
        </w:tc>
      </w:tr>
      <w:tr w:rsidR="00FA7026" w14:paraId="02CE1F25" w14:textId="77777777">
        <w:tc>
          <w:tcPr>
            <w:tcW w:w="3494" w:type="dxa"/>
          </w:tcPr>
          <w:p w14:paraId="3941F642" w14:textId="77777777" w:rsidR="00FA7026" w:rsidRDefault="00000000">
            <w:pPr>
              <w:pStyle w:val="Compact"/>
            </w:pPr>
            <w:r>
              <w:t>Repetition with Variation</w:t>
            </w:r>
          </w:p>
        </w:tc>
        <w:tc>
          <w:tcPr>
            <w:tcW w:w="4425" w:type="dxa"/>
          </w:tcPr>
          <w:p w14:paraId="3291148C" w14:textId="77777777" w:rsidR="00FA7026" w:rsidRDefault="00000000">
            <w:pPr>
              <w:pStyle w:val="Compact"/>
            </w:pPr>
            <w:r>
              <w:t>Dharani, Sutra Recitation</w:t>
            </w:r>
          </w:p>
        </w:tc>
      </w:tr>
      <w:tr w:rsidR="00FA7026" w14:paraId="42AB978A" w14:textId="77777777">
        <w:tc>
          <w:tcPr>
            <w:tcW w:w="3494" w:type="dxa"/>
          </w:tcPr>
          <w:p w14:paraId="388D9194" w14:textId="77777777" w:rsidR="00FA7026" w:rsidRDefault="00000000">
            <w:pPr>
              <w:pStyle w:val="Compact"/>
            </w:pPr>
            <w:r>
              <w:t>“Testifying” (Bearing Witness)</w:t>
            </w:r>
          </w:p>
        </w:tc>
        <w:tc>
          <w:tcPr>
            <w:tcW w:w="4425" w:type="dxa"/>
          </w:tcPr>
          <w:p w14:paraId="2A16AB05" w14:textId="77777777" w:rsidR="00FA7026" w:rsidRDefault="00000000">
            <w:pPr>
              <w:pStyle w:val="Compact"/>
            </w:pPr>
            <w:r>
              <w:t>First-Person Awakening Narrative</w:t>
            </w:r>
          </w:p>
        </w:tc>
      </w:tr>
      <w:tr w:rsidR="00FA7026" w14:paraId="2C809D43" w14:textId="77777777">
        <w:tc>
          <w:tcPr>
            <w:tcW w:w="3494" w:type="dxa"/>
          </w:tcPr>
          <w:p w14:paraId="4BE14FDD" w14:textId="77777777" w:rsidR="00FA7026" w:rsidRDefault="00000000">
            <w:pPr>
              <w:pStyle w:val="Compact"/>
            </w:pPr>
            <w:r>
              <w:lastRenderedPageBreak/>
              <w:t>The “Feeling” Over Doctrine</w:t>
            </w:r>
          </w:p>
        </w:tc>
        <w:tc>
          <w:tcPr>
            <w:tcW w:w="4425" w:type="dxa"/>
          </w:tcPr>
          <w:p w14:paraId="1DC1BD1C" w14:textId="77777777" w:rsidR="00FA7026" w:rsidRDefault="00000000">
            <w:pPr>
              <w:pStyle w:val="Compact"/>
            </w:pPr>
            <w:r>
              <w:t>Direct Experience Over Conceptualization</w:t>
            </w:r>
          </w:p>
        </w:tc>
      </w:tr>
      <w:tr w:rsidR="00FA7026" w14:paraId="0214CC63" w14:textId="77777777">
        <w:tc>
          <w:tcPr>
            <w:tcW w:w="3494" w:type="dxa"/>
          </w:tcPr>
          <w:p w14:paraId="5D1DCEC2" w14:textId="77777777" w:rsidR="00FA7026" w:rsidRDefault="00000000">
            <w:pPr>
              <w:pStyle w:val="Compact"/>
            </w:pPr>
            <w:r>
              <w:t>Community Affirmation</w:t>
            </w:r>
          </w:p>
        </w:tc>
        <w:tc>
          <w:tcPr>
            <w:tcW w:w="4425" w:type="dxa"/>
          </w:tcPr>
          <w:p w14:paraId="5B91C3E3" w14:textId="77777777" w:rsidR="00FA7026" w:rsidRDefault="00000000">
            <w:pPr>
              <w:pStyle w:val="Compact"/>
            </w:pPr>
            <w:r>
              <w:t>Sangha as Witness Community</w:t>
            </w:r>
          </w:p>
        </w:tc>
      </w:tr>
    </w:tbl>
    <w:p w14:paraId="72F19B2C" w14:textId="77777777" w:rsidR="00FA7026" w:rsidRDefault="00000000">
      <w:pPr>
        <w:pStyle w:val="BodyText"/>
      </w:pPr>
      <w:r>
        <w:t>Call and response—the singer offering a line, the community answering—mirrors the dialogic structure of sutras, where disciples ask questions and the Buddha responds. The repetitive structure of Blues (verse-chorus-verse) echoes the repetitive structure of dharani and mantra, where truth is reinforced through recurrence.</w:t>
      </w:r>
    </w:p>
    <w:p w14:paraId="39DAE371" w14:textId="77777777" w:rsidR="00FA7026" w:rsidRDefault="00000000">
      <w:pPr>
        <w:pStyle w:val="BodyText"/>
      </w:pPr>
      <w:r>
        <w:t xml:space="preserve">Perhaps most significantly, both traditions prioritize </w:t>
      </w:r>
      <w:r>
        <w:rPr>
          <w:i/>
          <w:iCs/>
        </w:rPr>
        <w:t>feeling</w:t>
      </w:r>
      <w:r>
        <w:t xml:space="preserve"> over mere doctrinal knowledge. A Blues singer who doesn’t </w:t>
      </w:r>
      <w:r>
        <w:rPr>
          <w:i/>
          <w:iCs/>
        </w:rPr>
        <w:t>feel</w:t>
      </w:r>
      <w:r>
        <w:t xml:space="preserve"> the song, however technically accurate, has missed the point. Similarly, Buddhist teaching insists that intellectual understanding alone is insufficient; the dharma must be </w:t>
      </w:r>
      <w:r>
        <w:rPr>
          <w:i/>
          <w:iCs/>
        </w:rPr>
        <w:t>realized</w:t>
      </w:r>
      <w:r>
        <w:t>, not just comprehended.</w:t>
      </w:r>
    </w:p>
    <w:p w14:paraId="1D544B95" w14:textId="77777777" w:rsidR="00FA7026" w:rsidRDefault="00000000">
      <w:pPr>
        <w:pStyle w:val="Heading3"/>
      </w:pPr>
      <w:bookmarkStart w:id="13" w:name="suffering-as-teacher"/>
      <w:bookmarkEnd w:id="12"/>
      <w:r>
        <w:t>2.3 Suffering as Teacher</w:t>
      </w:r>
    </w:p>
    <w:p w14:paraId="45E44B53" w14:textId="77777777" w:rsidR="00FA7026" w:rsidRDefault="00000000">
      <w:pPr>
        <w:pStyle w:val="FirstParagraph"/>
      </w:pPr>
      <w:r>
        <w:t>Both traditions understand suffering as teacher rather than merely enemy. The Blues does not try to escape pain; it transforms pain into art, into community, into wisdom. Angela Davis notes that Blues singers “transformed experiences of pain, loss, and loneliness into art that could speak to—and for—entire communities.”</w:t>
      </w:r>
      <w:r>
        <w:rPr>
          <w:rStyle w:val="FootnoteReference"/>
        </w:rPr>
        <w:footnoteReference w:id="7"/>
      </w:r>
    </w:p>
    <w:p w14:paraId="622A91D5" w14:textId="77777777" w:rsidR="00FA7026" w:rsidRDefault="00000000">
      <w:pPr>
        <w:pStyle w:val="BodyText"/>
      </w:pPr>
      <w:r>
        <w:t>This transformative relationship to suffering—neither denying it nor drowning in it, but using it as raw material for liberation—is precisely what Buddhism teaches. The lotus grows from mud; the Blues grows from sorrow. In both cases, the suffering is not eliminated but transfigured.</w:t>
      </w:r>
    </w:p>
    <w:p w14:paraId="16297AB0" w14:textId="77777777" w:rsidR="00FA7026" w:rsidRDefault="00000000">
      <w:pPr>
        <w:pStyle w:val="Heading3"/>
      </w:pPr>
      <w:bookmarkStart w:id="14" w:name="the-vernacular-as-sacred"/>
      <w:bookmarkEnd w:id="13"/>
      <w:r>
        <w:t>2.4 The Vernacular as Sacred</w:t>
      </w:r>
    </w:p>
    <w:p w14:paraId="50547167" w14:textId="77777777" w:rsidR="00FA7026" w:rsidRDefault="00000000">
      <w:pPr>
        <w:pStyle w:val="FirstParagraph"/>
      </w:pPr>
      <w:r>
        <w:t>Finally, both traditions understand that wisdom need not speak in elevated registers. The Buddha taught in Pali, not Sanskrit—the language of the people, not the priests. Blues wisdom lives in everyday speech, in vernacular idiom, in the grit of ordinary language.</w:t>
      </w:r>
    </w:p>
    <w:p w14:paraId="528F507D" w14:textId="77777777" w:rsidR="00FA7026" w:rsidRDefault="00000000">
      <w:pPr>
        <w:pStyle w:val="BodyText"/>
      </w:pPr>
      <w:r>
        <w:t>When we speak of translating Buddhist texts into Blues vernacular, then, we are not departing from Buddhist tradition but returning to it. We are recovering the Buddha’s original insistence that dharma speak in the mother tongue.</w:t>
      </w:r>
    </w:p>
    <w:p w14:paraId="5F0F9D9B" w14:textId="77777777" w:rsidR="00FA7026" w:rsidRDefault="00000000">
      <w:pPr>
        <w:pStyle w:val="Heading3"/>
      </w:pPr>
      <w:bookmarkStart w:id="15" w:name="X8feb726d80189bd906879f6ee801e10e08ca8c8"/>
      <w:bookmarkEnd w:id="14"/>
      <w:r>
        <w:t>2.5 The Cross and the Lotus: A Theology of Suffering</w:t>
      </w:r>
    </w:p>
    <w:p w14:paraId="751E271C" w14:textId="77777777" w:rsidR="00FA7026" w:rsidRDefault="00000000">
      <w:pPr>
        <w:pStyle w:val="FirstParagraph"/>
      </w:pPr>
      <w:r>
        <w:t>The parallels between Blues and Buddhism become even more striking when examined through the lens of Black Liberation Theology—the Christian theological tradition that emerged from African-American experience and explicitly centers the suffering of oppressed peoples as the site of divine encounter.</w:t>
      </w:r>
    </w:p>
    <w:p w14:paraId="20CF5B47" w14:textId="77777777" w:rsidR="00FA7026" w:rsidRDefault="00000000">
      <w:pPr>
        <w:pStyle w:val="BodyText"/>
      </w:pPr>
      <w:r>
        <w:lastRenderedPageBreak/>
        <w:t xml:space="preserve">James H. Cone, the founding voice of Black Liberation Theology, argued that God is not neutral in human history but takes the side of the oppressed. In </w:t>
      </w:r>
      <w:r>
        <w:rPr>
          <w:i/>
          <w:iCs/>
        </w:rPr>
        <w:t>The Cross and the Lynching Tree</w:t>
      </w:r>
      <w:r>
        <w:t xml:space="preserve"> (2011), Cone draws a profound connection: the Roman cross on which Jesus died and the American lynching tree on which Black bodies hung are the same theological site—places where innocent suffering becomes redemptive witness.</w:t>
      </w:r>
      <w:r>
        <w:rPr>
          <w:rStyle w:val="FootnoteReference"/>
        </w:rPr>
        <w:footnoteReference w:id="8"/>
      </w:r>
      <w:r>
        <w:t xml:space="preserve"> This is a thoroughly Buddhist insight expressed in Christian language. The Bodhisattva path, central to Mahayana Buddhism, teaches that enlightened beings choose to remain in the world of suffering rather than escape to nirvana, taking on the pain of others as a path to universal liberation. The Bodhisattva does not transcend suffering by avoiding it but by entering it fully on behalf of all beings.</w:t>
      </w:r>
    </w:p>
    <w:p w14:paraId="4DED813E" w14:textId="77777777" w:rsidR="00FA7026" w:rsidRDefault="00000000">
      <w:pPr>
        <w:pStyle w:val="BodyText"/>
      </w:pPr>
      <w:r>
        <w:t xml:space="preserve">Cone’s “Blues Jesus” is structurally identical to the Bodhisattva. This is the Christ who does not magically fix suffering but who suffers </w:t>
      </w:r>
      <w:r>
        <w:rPr>
          <w:i/>
          <w:iCs/>
        </w:rPr>
        <w:t>with</w:t>
      </w:r>
      <w:r>
        <w:t xml:space="preserve"> the people—present in the pain, redemptive through witness rather than rescue. In African-American Christianity, Jesus is not primarily the triumphant risen Lord of European theology but the suffering servant, the one who knows what it is to be beaten, mocked, and murdered by empire. As Cone writes: “The cross is a paradoxical religious symbol because it inverts the world’s value system with the news that hope comes by way of defeat, that suffering and death do not have the last word.”</w:t>
      </w:r>
      <w:r>
        <w:rPr>
          <w:rStyle w:val="FootnoteReference"/>
        </w:rPr>
        <w:footnoteReference w:id="9"/>
      </w:r>
    </w:p>
    <w:p w14:paraId="2B84082F" w14:textId="77777777" w:rsidR="00FA7026" w:rsidRDefault="00000000">
      <w:pPr>
        <w:pStyle w:val="BodyText"/>
      </w:pPr>
      <w:r>
        <w:t>This theological vision creates what we might call a “third space”—a spiritual territory where Buddhist wisdom and Christian aesthetics of the Black Church meet and recognize each other. The Blues Lotus Sutra operates in precisely this third space. When the Buddha teaches in the Lotus Sutra that he did not actually enter nirvana but remains in the world to teach all beings, he articulates the Bodhisattva’s refusal of private liberation. When the Blues singer testifies to suffering not as complaint but as communal witness, she enacts the same theological gesture.</w:t>
      </w:r>
    </w:p>
    <w:p w14:paraId="033AB2B1" w14:textId="77777777" w:rsidR="00FA7026" w:rsidRDefault="00000000">
      <w:pPr>
        <w:pStyle w:val="BodyText"/>
      </w:pPr>
      <w:r>
        <w:t>Consider the structural parallel between the Parable of the Two Fathers in the Lotus Sutra (Chapter 16) and Cone’s theology of divine presence in suffering. In this teaching, the Buddha compares himself to a physician who allows his children to believe he has died so they will value the medicine he left behind. The children’s grief becomes the catalyst for their healing. This is not cruelty; it is skillful means—the recognition that sometimes presence is revealed through apparent absence, that divine compassion sometimes works through the experience of loss.</w:t>
      </w:r>
    </w:p>
    <w:p w14:paraId="7DE5EBF1" w14:textId="77777777" w:rsidR="00FA7026" w:rsidRDefault="00000000">
      <w:pPr>
        <w:pStyle w:val="BodyText"/>
      </w:pPr>
      <w:r>
        <w:t xml:space="preserve">The Blues operates with the same theological logic. When Ma Rainey sang of abandonment, when Robert Johnson cried at the crossroads, when Billie Holiday witnessed the strange fruit of lynching, they were not simply expressing despair. They were </w:t>
      </w:r>
      <w:r>
        <w:lastRenderedPageBreak/>
        <w:t>enacting what Cone calls “the courage to be black in spite of white racists.”</w:t>
      </w:r>
      <w:r>
        <w:rPr>
          <w:rStyle w:val="FootnoteReference"/>
        </w:rPr>
        <w:footnoteReference w:id="10"/>
      </w:r>
      <w:r>
        <w:t xml:space="preserve"> This is bodhisattva courage: the refusal to look away from suffering, the commitment to witness even when witness cannot rescue.</w:t>
      </w:r>
    </w:p>
    <w:p w14:paraId="78996CDE" w14:textId="77777777" w:rsidR="00FA7026" w:rsidRDefault="00000000">
      <w:pPr>
        <w:pStyle w:val="BodyText"/>
      </w:pPr>
      <w:r>
        <w:t>The intersection of these traditions—Buddhist, Christian, and African-American—opens a powerful possibility for contemporary spirituality. For African-American practitioners who come from Christian communities, the Blues Lotus Sutra does not ask them to abandon Jesus for Buddha. Rather, it reveals that the Jesus of their tradition—the suffering servant who knows their pain—has been teaching bodhisattva dharma all along. The cross and the lotus are not competing symbols; they are parallel expressions of the same spiritual truth: that liberation emerges through suffering, not despite it, and that the enlightened heart remains present in the world’s pain.</w:t>
      </w:r>
    </w:p>
    <w:p w14:paraId="30F27C35" w14:textId="77777777" w:rsidR="00FA7026" w:rsidRDefault="00000000">
      <w:pPr>
        <w:pStyle w:val="BodyText"/>
      </w:pPr>
      <w:r>
        <w:t>This recognition has implications beyond theology. If Cone’s Black Liberation Theology and Mahayana Buddhist philosophy converge in the Blues, then the Blues is not merely African-American folk music. It is a third space where two of the world’s great wisdom traditions meet and recognize each other—a liminal territory where Christian and Buddhist seekers can practice together without abandoning their roots. The Blues becomes, in this reading, a site of genuine interreligious dialogue: not the abstract exchange of doctrines but the shared embodied practice of transforming suffering into wisdom.</w:t>
      </w:r>
    </w:p>
    <w:p w14:paraId="6193C4F5" w14:textId="77777777" w:rsidR="00FA7026" w:rsidRDefault="00CA2DDA">
      <w:r>
        <w:rPr>
          <w:noProof/>
        </w:rPr>
        <w:pict w14:anchorId="24EB25AF">
          <v:rect id="_x0000_i1031" alt="" style="width:468pt;height:.05pt;mso-width-percent:0;mso-height-percent:0;mso-width-percent:0;mso-height-percent:0" o:hralign="center" o:hrstd="t" o:hr="t"/>
        </w:pict>
      </w:r>
    </w:p>
    <w:p w14:paraId="7CF7E4AF" w14:textId="77777777" w:rsidR="00FA7026" w:rsidRDefault="00000000">
      <w:pPr>
        <w:pStyle w:val="Heading2"/>
      </w:pPr>
      <w:bookmarkStart w:id="16" w:name="methodology-multi-layer-validation"/>
      <w:bookmarkEnd w:id="10"/>
      <w:bookmarkEnd w:id="15"/>
      <w:r>
        <w:t>3. Methodology: Multi-Layer Validation</w:t>
      </w:r>
    </w:p>
    <w:p w14:paraId="4D0D0D2D" w14:textId="77777777" w:rsidR="00FA7026" w:rsidRDefault="00000000">
      <w:pPr>
        <w:pStyle w:val="FirstParagraph"/>
      </w:pPr>
      <w:r>
        <w:t>The core challenge for any vernacular interpretation is validation. How do we know the interpretation is accurate? How do we distinguish legitimate adaptation from distortion?</w:t>
      </w:r>
    </w:p>
    <w:p w14:paraId="08BF5E14" w14:textId="77777777" w:rsidR="00FA7026" w:rsidRDefault="00000000">
      <w:pPr>
        <w:pStyle w:val="BodyText"/>
      </w:pPr>
      <w:r>
        <w:t>This section presents a three-layer validation methodology developed through the creation of Blues interpretations of the Lotus Sutra and Heart Sutra.</w:t>
      </w:r>
    </w:p>
    <w:p w14:paraId="3088D9DE" w14:textId="77777777" w:rsidR="00FA7026" w:rsidRDefault="00000000">
      <w:pPr>
        <w:pStyle w:val="Heading3"/>
      </w:pPr>
      <w:bookmarkStart w:id="17" w:name="the-challenge"/>
      <w:r>
        <w:t>3.1 The Challenge</w:t>
      </w:r>
    </w:p>
    <w:p w14:paraId="0D1AE0C2" w14:textId="77777777" w:rsidR="00FA7026" w:rsidRDefault="00000000">
      <w:pPr>
        <w:pStyle w:val="FirstParagraph"/>
      </w:pPr>
      <w:r>
        <w:t>The question “How do you know your interpretation is accurate?” admits no easy answer. Translation is not mathematics; there is no algorithm for determining correctness. Different translation philosophies will yield different results, and reasonable scholars can disagree.</w:t>
      </w:r>
    </w:p>
    <w:p w14:paraId="5B2D346A" w14:textId="77777777" w:rsidR="00FA7026" w:rsidRDefault="00000000">
      <w:pPr>
        <w:pStyle w:val="BodyText"/>
      </w:pPr>
      <w:r>
        <w:t>Nevertheless, we can distinguish responsible interpretation from carelessness. We can ask whether the interpreter has engaged the source text seriously, understood its meaning, and made intentional rather than accidental choices. We can evaluate whether creative liberties serve the teaching or obscure it.</w:t>
      </w:r>
    </w:p>
    <w:p w14:paraId="70409A5A" w14:textId="77777777" w:rsidR="00FA7026" w:rsidRDefault="00000000">
      <w:pPr>
        <w:pStyle w:val="BodyText"/>
      </w:pPr>
      <w:r>
        <w:lastRenderedPageBreak/>
        <w:t>The methodology presented here does not claim to prove that a particular interpretation is “correct”—a claim that would be philosophically naive. Rather, it demonstrates rigorous engagement and creates transparency about interpretive choices.</w:t>
      </w:r>
    </w:p>
    <w:p w14:paraId="796E5259" w14:textId="77777777" w:rsidR="00FA7026" w:rsidRDefault="00000000">
      <w:pPr>
        <w:pStyle w:val="CaptionedFigure"/>
      </w:pPr>
      <w:r>
        <w:rPr>
          <w:noProof/>
        </w:rPr>
        <w:drawing>
          <wp:inline distT="0" distB="0" distL="0" distR="0" wp14:anchorId="5EC0E1EB" wp14:editId="28A7E5E4">
            <wp:extent cx="5334000" cy="2911822"/>
            <wp:effectExtent l="0" t="0" r="0" b="0"/>
            <wp:docPr id="35" name="Picture" descr="Figure 1: The Multi-Agent Validation Architecture"/>
            <wp:cNvGraphicFramePr/>
            <a:graphic xmlns:a="http://schemas.openxmlformats.org/drawingml/2006/main">
              <a:graphicData uri="http://schemas.openxmlformats.org/drawingml/2006/picture">
                <pic:pic xmlns:pic="http://schemas.openxmlformats.org/drawingml/2006/picture">
                  <pic:nvPicPr>
                    <pic:cNvPr id="36" name="Picture" descr="12102025FlowImage.jpg"/>
                    <pic:cNvPicPr>
                      <a:picLocks noChangeAspect="1" noChangeArrowheads="1"/>
                    </pic:cNvPicPr>
                  </pic:nvPicPr>
                  <pic:blipFill>
                    <a:blip r:embed="rId7"/>
                    <a:stretch>
                      <a:fillRect/>
                    </a:stretch>
                  </pic:blipFill>
                  <pic:spPr bwMode="auto">
                    <a:xfrm>
                      <a:off x="0" y="0"/>
                      <a:ext cx="5334000" cy="2911822"/>
                    </a:xfrm>
                    <a:prstGeom prst="rect">
                      <a:avLst/>
                    </a:prstGeom>
                    <a:noFill/>
                    <a:ln w="9525">
                      <a:noFill/>
                      <a:headEnd/>
                      <a:tailEnd/>
                    </a:ln>
                  </pic:spPr>
                </pic:pic>
              </a:graphicData>
            </a:graphic>
          </wp:inline>
        </w:drawing>
      </w:r>
    </w:p>
    <w:p w14:paraId="185A1081" w14:textId="77777777" w:rsidR="00FA7026" w:rsidRDefault="00000000">
      <w:pPr>
        <w:pStyle w:val="ImageCaption"/>
      </w:pPr>
      <w:r>
        <w:t>Figure 1: The Multi-Agent Validation Architecture</w:t>
      </w:r>
    </w:p>
    <w:p w14:paraId="5237D531" w14:textId="77777777" w:rsidR="00FA7026" w:rsidRDefault="00000000">
      <w:pPr>
        <w:pStyle w:val="Heading3"/>
      </w:pPr>
      <w:bookmarkStart w:id="18" w:name="layer-one-ai-verification"/>
      <w:bookmarkEnd w:id="17"/>
      <w:r>
        <w:t>3.2 Layer One: AI Verification</w:t>
      </w:r>
    </w:p>
    <w:p w14:paraId="42FA98B6" w14:textId="77777777" w:rsidR="00FA7026" w:rsidRDefault="00000000">
      <w:pPr>
        <w:pStyle w:val="FirstParagraph"/>
      </w:pPr>
      <w:r>
        <w:t>The first layer of validation uses large language models (specifically Google’s Gemini 1.5 Pro, accessed through NotebookLM) to compare source texts with vernacular interpretations.</w:t>
      </w:r>
    </w:p>
    <w:p w14:paraId="22C144C7" w14:textId="77777777" w:rsidR="00FA7026" w:rsidRDefault="00000000">
      <w:pPr>
        <w:pStyle w:val="BodyText"/>
      </w:pPr>
      <w:r>
        <w:rPr>
          <w:b/>
          <w:bCs/>
        </w:rPr>
        <w:t>Process</w:t>
      </w:r>
      <w:r>
        <w:t>: The original Chinese text (in this case, Xuanzang’s Heart Sutra translation, T0251) and the Blues interpretation were loaded as separate sources. The AI was then queried:</w:t>
      </w:r>
    </w:p>
    <w:p w14:paraId="6B7844C8" w14:textId="77777777" w:rsidR="00FA7026" w:rsidRDefault="00000000">
      <w:pPr>
        <w:pStyle w:val="Compact"/>
        <w:numPr>
          <w:ilvl w:val="0"/>
          <w:numId w:val="2"/>
        </w:numPr>
      </w:pPr>
      <w:r>
        <w:t>“Compare the Chinese text with the English translation. Identify any sentences where the meaning is inconsistent.”</w:t>
      </w:r>
    </w:p>
    <w:p w14:paraId="7FF39939" w14:textId="77777777" w:rsidR="00FA7026" w:rsidRDefault="00000000">
      <w:pPr>
        <w:pStyle w:val="Compact"/>
        <w:numPr>
          <w:ilvl w:val="0"/>
          <w:numId w:val="2"/>
        </w:numPr>
      </w:pPr>
      <w:r>
        <w:t>“Does the tone of the English translation match the original Chinese text?”</w:t>
      </w:r>
    </w:p>
    <w:p w14:paraId="3F4A278D" w14:textId="77777777" w:rsidR="00FA7026" w:rsidRDefault="00000000">
      <w:pPr>
        <w:pStyle w:val="Compact"/>
        <w:numPr>
          <w:ilvl w:val="0"/>
          <w:numId w:val="2"/>
        </w:numPr>
      </w:pPr>
      <w:r>
        <w:t>“Are there any mistranslations in the English version?”</w:t>
      </w:r>
    </w:p>
    <w:p w14:paraId="1ADC3234" w14:textId="77777777" w:rsidR="00FA7026" w:rsidRDefault="00000000">
      <w:pPr>
        <w:pStyle w:val="FirstParagraph"/>
      </w:pPr>
      <w:r>
        <w:rPr>
          <w:b/>
          <w:bCs/>
        </w:rPr>
        <w:t>Findings</w:t>
      </w:r>
      <w:r>
        <w:t xml:space="preserve">: The AI verification yielded a crucial distinction: </w:t>
      </w:r>
      <w:r>
        <w:rPr>
          <w:i/>
          <w:iCs/>
        </w:rPr>
        <w:t>meaning</w:t>
      </w:r>
      <w:r>
        <w:t xml:space="preserve"> remained consistent across the two versions, even though </w:t>
      </w:r>
      <w:r>
        <w:rPr>
          <w:i/>
          <w:iCs/>
        </w:rPr>
        <w:t>tone</w:t>
      </w:r>
      <w:r>
        <w:t xml:space="preserve"> diverged dramatically. The AI characterized the relationship as follows:</w:t>
      </w:r>
    </w:p>
    <w:p w14:paraId="0C7EB089" w14:textId="77777777" w:rsidR="00FA7026" w:rsidRDefault="00000000">
      <w:pPr>
        <w:pStyle w:val="BlockText"/>
      </w:pPr>
      <w:r>
        <w:t>The Chinese text reads like a classical sheet music score—precise, formal, requiring strict adherence. The English translation reads like a jazz improvisation on that same score—swinging the rhythm, bending the notes, adding soul, while keeping the underlying chord progression (the doctrine) exactly the same.</w:t>
      </w:r>
    </w:p>
    <w:p w14:paraId="734741B9" w14:textId="77777777" w:rsidR="00FA7026" w:rsidRDefault="00000000">
      <w:pPr>
        <w:pStyle w:val="FirstParagraph"/>
      </w:pPr>
      <w:r>
        <w:lastRenderedPageBreak/>
        <w:t>This finding—that semantic meaning can be preserved across radical tonal divergence—provides empirical support for the vernacular interpretation project. The “chord progression” (dharma) remains intact; the “performance” (register) changes.</w:t>
      </w:r>
    </w:p>
    <w:p w14:paraId="0FB13AC4" w14:textId="77777777" w:rsidR="00FA7026" w:rsidRDefault="00000000">
      <w:pPr>
        <w:pStyle w:val="BodyText"/>
      </w:pPr>
      <w:r>
        <w:rPr>
          <w:b/>
          <w:bCs/>
        </w:rPr>
        <w:t>Limitations</w:t>
      </w:r>
      <w:r>
        <w:t>: AI verification tests semantic consistency, not spiritual authenticity. A passage might be semantically accurate yet spiritually misleading. For this reason, AI verification is necessary but not sufficient.</w:t>
      </w:r>
    </w:p>
    <w:p w14:paraId="1D281B8A" w14:textId="77777777" w:rsidR="00FA7026" w:rsidRDefault="00000000">
      <w:pPr>
        <w:pStyle w:val="Heading3"/>
      </w:pPr>
      <w:bookmarkStart w:id="19" w:name="layer-two-scholarly-critique"/>
      <w:bookmarkEnd w:id="18"/>
      <w:r>
        <w:t>3.3 Layer Two: Scholarly Critique</w:t>
      </w:r>
    </w:p>
    <w:p w14:paraId="26B548AA" w14:textId="77777777" w:rsidR="00FA7026" w:rsidRDefault="00000000">
      <w:pPr>
        <w:pStyle w:val="FirstParagraph"/>
      </w:pPr>
      <w:r>
        <w:t>The second layer subjects the interpretation to scholarly review, evaluating doctrinal precision and theological accuracy.</w:t>
      </w:r>
    </w:p>
    <w:p w14:paraId="13B158D5" w14:textId="77777777" w:rsidR="00FA7026" w:rsidRDefault="00000000">
      <w:pPr>
        <w:pStyle w:val="BodyText"/>
      </w:pPr>
      <w:r>
        <w:t>For this project, a “Professor” persona was employed—a scholarly critic trained in Buddhist studies who evaluated each translation choice against canonical Buddhist doctrine. It must be stated transparently: the “Professor” and “Bluesman” referenced throughout this methodology were not human reviewers but distinct AI personas instantiated within the project’s workspace, prompted with specific biographical and intellectual constraints. The “Professor”—a persona of rigorous Buddhist scholarship—reviewed each translation passage for doctrinal accuracy, while the “Bluesman”—a persona shaped by African-American musical and spiritual tradition—reviewed the same passages for vernacular authenticity and cultural resonance.</w:t>
      </w:r>
    </w:p>
    <w:p w14:paraId="15A9AA44" w14:textId="77777777" w:rsidR="00FA7026" w:rsidRDefault="00000000">
      <w:pPr>
        <w:pStyle w:val="BodyText"/>
      </w:pPr>
      <w:r>
        <w:t>This use of AI personas requires neither apology nor inflation. The AI served as a sophisticated tool for systematic review, analogous to using a concordance or commentary. The interpretive choices, theological judgments, and final textual decisions remained with the human translator. What the AI provided was tireless consistency: every passage of all twenty-eight chapters received the same rigorous dual review, a task that would have been prohibitively time-consuming with human reviewers alone.</w:t>
      </w:r>
    </w:p>
    <w:p w14:paraId="28F59FBD" w14:textId="77777777" w:rsidR="00FA7026" w:rsidRDefault="00000000">
      <w:pPr>
        <w:pStyle w:val="BodyText"/>
      </w:pPr>
      <w:r>
        <w:t>The Professor asked:</w:t>
      </w:r>
    </w:p>
    <w:p w14:paraId="71FDCF81" w14:textId="77777777" w:rsidR="00FA7026" w:rsidRDefault="00000000">
      <w:pPr>
        <w:pStyle w:val="Compact"/>
        <w:numPr>
          <w:ilvl w:val="0"/>
          <w:numId w:val="3"/>
        </w:numPr>
      </w:pPr>
      <w:r>
        <w:t xml:space="preserve">Is the distinction between </w:t>
      </w:r>
      <w:r>
        <w:rPr>
          <w:i/>
          <w:iCs/>
        </w:rPr>
        <w:t>śūnyatā</w:t>
      </w:r>
      <w:r>
        <w:t xml:space="preserve"> (emptiness) and </w:t>
      </w:r>
      <w:r>
        <w:rPr>
          <w:i/>
          <w:iCs/>
        </w:rPr>
        <w:t>anitya</w:t>
      </w:r>
      <w:r>
        <w:t xml:space="preserve"> (impermanence) maintained?</w:t>
      </w:r>
    </w:p>
    <w:p w14:paraId="310E6A65" w14:textId="77777777" w:rsidR="00FA7026" w:rsidRDefault="00000000">
      <w:pPr>
        <w:pStyle w:val="Compact"/>
        <w:numPr>
          <w:ilvl w:val="0"/>
          <w:numId w:val="3"/>
        </w:numPr>
      </w:pPr>
      <w:r>
        <w:t xml:space="preserve">Are technical terms like </w:t>
      </w:r>
      <w:r>
        <w:rPr>
          <w:i/>
          <w:iCs/>
        </w:rPr>
        <w:t>saṃskāra</w:t>
      </w:r>
      <w:r>
        <w:t xml:space="preserve"> (volitional formations) rendered accurately?</w:t>
      </w:r>
    </w:p>
    <w:p w14:paraId="11147924" w14:textId="77777777" w:rsidR="00FA7026" w:rsidRDefault="00000000">
      <w:pPr>
        <w:pStyle w:val="Compact"/>
        <w:numPr>
          <w:ilvl w:val="0"/>
          <w:numId w:val="3"/>
        </w:numPr>
      </w:pPr>
      <w:r>
        <w:t>Do vernacular metaphors (like “flowing river”) risk conflating distinct Buddhist concepts?</w:t>
      </w:r>
    </w:p>
    <w:p w14:paraId="59780263" w14:textId="77777777" w:rsidR="00FA7026" w:rsidRDefault="00000000">
      <w:pPr>
        <w:pStyle w:val="FirstParagraph"/>
      </w:pPr>
      <w:r>
        <w:rPr>
          <w:b/>
          <w:bCs/>
        </w:rPr>
        <w:t>Example Finding</w:t>
      </w:r>
      <w:r>
        <w:t xml:space="preserve">: The Professor identified a potential theological ambiguity in describing emptiness as “flow.” The concern: conflating </w:t>
      </w:r>
      <w:r>
        <w:rPr>
          <w:i/>
          <w:iCs/>
        </w:rPr>
        <w:t>śūnyatā</w:t>
      </w:r>
      <w:r>
        <w:t xml:space="preserve"> (lack of inherent existence) with </w:t>
      </w:r>
      <w:r>
        <w:rPr>
          <w:i/>
          <w:iCs/>
        </w:rPr>
        <w:t>anitya</w:t>
      </w:r>
      <w:r>
        <w:t xml:space="preserve"> (impermanence). The response was to add clarifying language:</w:t>
      </w:r>
    </w:p>
    <w:p w14:paraId="6C008586" w14:textId="77777777" w:rsidR="00FA7026" w:rsidRDefault="00000000">
      <w:pPr>
        <w:pStyle w:val="BlockText"/>
      </w:pPr>
      <w:r>
        <w:t>“When this song uses words like ‘Flow,’ understand: the Buddha wasn’t just saying things change. He was saying the ‘thing’ that seems to change never had solid edges in the first place. The river flows, but there ain’t no fixed river.”</w:t>
      </w:r>
    </w:p>
    <w:p w14:paraId="6B0F65A8" w14:textId="77777777" w:rsidR="00FA7026" w:rsidRDefault="00000000">
      <w:pPr>
        <w:pStyle w:val="FirstParagraph"/>
      </w:pPr>
      <w:r>
        <w:t>This scholarly review catches conceptual slippage that AI verification might miss.</w:t>
      </w:r>
    </w:p>
    <w:p w14:paraId="48BBC129" w14:textId="77777777" w:rsidR="00FA7026" w:rsidRDefault="00000000">
      <w:pPr>
        <w:pStyle w:val="Heading3"/>
      </w:pPr>
      <w:bookmarkStart w:id="20" w:name="layer-three-vernacular-validation"/>
      <w:bookmarkEnd w:id="19"/>
      <w:r>
        <w:lastRenderedPageBreak/>
        <w:t>3.4 Layer Three: Vernacular Validation</w:t>
      </w:r>
    </w:p>
    <w:p w14:paraId="65EE27B8" w14:textId="77777777" w:rsidR="00FA7026" w:rsidRDefault="00000000">
      <w:pPr>
        <w:pStyle w:val="FirstParagraph"/>
      </w:pPr>
      <w:r>
        <w:t>The third layer ensures that the interpretation is authentic to its vernacular register—that it actually works as Blues.</w:t>
      </w:r>
    </w:p>
    <w:p w14:paraId="7C76B846" w14:textId="77777777" w:rsidR="00FA7026" w:rsidRDefault="00000000">
      <w:pPr>
        <w:pStyle w:val="BodyText"/>
      </w:pPr>
      <w:r>
        <w:t>A “Bluesman” persona was employed—a vernacular critic who evaluated whether the translation felt true to the Blues tradition. The Bluesman asked:</w:t>
      </w:r>
    </w:p>
    <w:p w14:paraId="71884DFD" w14:textId="77777777" w:rsidR="00FA7026" w:rsidRDefault="00000000">
      <w:pPr>
        <w:pStyle w:val="Compact"/>
        <w:numPr>
          <w:ilvl w:val="0"/>
          <w:numId w:val="4"/>
        </w:numPr>
      </w:pPr>
      <w:r>
        <w:t>Does this sound like something a Blues singer would actually say?</w:t>
      </w:r>
    </w:p>
    <w:p w14:paraId="1524C6CB" w14:textId="77777777" w:rsidR="00FA7026" w:rsidRDefault="00000000">
      <w:pPr>
        <w:pStyle w:val="Compact"/>
        <w:numPr>
          <w:ilvl w:val="0"/>
          <w:numId w:val="4"/>
        </w:numPr>
      </w:pPr>
      <w:r>
        <w:t>Is the language honest and direct?</w:t>
      </w:r>
    </w:p>
    <w:p w14:paraId="3EEB122B" w14:textId="77777777" w:rsidR="00FA7026" w:rsidRDefault="00000000">
      <w:pPr>
        <w:pStyle w:val="Compact"/>
        <w:numPr>
          <w:ilvl w:val="0"/>
          <w:numId w:val="4"/>
        </w:numPr>
      </w:pPr>
      <w:r>
        <w:t>Does it reach people in their hearts, not just their heads?</w:t>
      </w:r>
    </w:p>
    <w:p w14:paraId="5B24CCD8" w14:textId="77777777" w:rsidR="00FA7026" w:rsidRDefault="00000000">
      <w:pPr>
        <w:pStyle w:val="FirstParagraph"/>
      </w:pPr>
      <w:r>
        <w:rPr>
          <w:b/>
          <w:bCs/>
        </w:rPr>
        <w:t>Example Finding</w:t>
      </w:r>
      <w:r>
        <w:t xml:space="preserve">: The Bluesman approved the substitution of “doubt” for “mind” in a verse section, despite its technical inaccuracy, because it captured the </w:t>
      </w:r>
      <w:r>
        <w:rPr>
          <w:i/>
          <w:iCs/>
        </w:rPr>
        <w:t>function</w:t>
      </w:r>
      <w:r>
        <w:t xml:space="preserve"> of the teaching:</w:t>
      </w:r>
    </w:p>
    <w:p w14:paraId="2DD3506A" w14:textId="77777777" w:rsidR="00FA7026" w:rsidRDefault="00000000">
      <w:pPr>
        <w:pStyle w:val="BlockText"/>
      </w:pPr>
      <w:r>
        <w:t>“Doubt is what keeps us stuck. When you clear the doubt, you see clear. It ain’t just a rhyme; it’s the truth of the experience.”</w:t>
      </w:r>
    </w:p>
    <w:p w14:paraId="1EC0B319" w14:textId="77777777" w:rsidR="00FA7026" w:rsidRDefault="00000000">
      <w:pPr>
        <w:pStyle w:val="FirstParagraph"/>
      </w:pPr>
      <w:r>
        <w:t>This vernacular validation ensures that the interpretation serves its intended audience.</w:t>
      </w:r>
    </w:p>
    <w:p w14:paraId="61A38F96" w14:textId="77777777" w:rsidR="00FA7026" w:rsidRDefault="00000000">
      <w:pPr>
        <w:pStyle w:val="Heading3"/>
      </w:pPr>
      <w:bookmarkStart w:id="21" w:name="the-transparency-principle"/>
      <w:bookmarkEnd w:id="20"/>
      <w:r>
        <w:t>3.5 The Transparency Principle</w:t>
      </w:r>
    </w:p>
    <w:p w14:paraId="5AC84E99" w14:textId="77777777" w:rsidR="00FA7026" w:rsidRDefault="00000000">
      <w:pPr>
        <w:pStyle w:val="FirstParagraph"/>
      </w:pPr>
      <w:r>
        <w:t>Perhaps most importantly, the methodology requires documentation of every significant divergence from literal translation. Readers are told explicitly when the interpretation has taken creative liberties and why.</w:t>
      </w:r>
    </w:p>
    <w:p w14:paraId="517C2D01" w14:textId="77777777" w:rsidR="00FA7026" w:rsidRDefault="00000000">
      <w:pPr>
        <w:pStyle w:val="BodyText"/>
      </w:pPr>
      <w:r>
        <w:t>This transparency—what we might call a “Translator’s Note” approach—respects readers’ intelligence. It says: “Here is what we did and why. You can evaluate our choices.”</w:t>
      </w:r>
    </w:p>
    <w:p w14:paraId="23D76F02" w14:textId="77777777" w:rsidR="00FA7026" w:rsidRDefault="00000000">
      <w:pPr>
        <w:pStyle w:val="BodyText"/>
      </w:pPr>
      <w:r>
        <w:t>The precedent is Kumārajīva’s own practice. Later Chinese scholars could compare his translations with Sanskrit originals and identify his interpretive choices. Transparency does not undermine authority; it establishes it.</w:t>
      </w:r>
    </w:p>
    <w:p w14:paraId="1ACA6BEE" w14:textId="77777777" w:rsidR="00FA7026" w:rsidRDefault="00CA2DDA">
      <w:r>
        <w:rPr>
          <w:noProof/>
        </w:rPr>
        <w:pict w14:anchorId="05F18BAB">
          <v:rect id="_x0000_i1030" alt="" style="width:468pt;height:.05pt;mso-width-percent:0;mso-height-percent:0;mso-width-percent:0;mso-height-percent:0" o:hralign="center" o:hrstd="t" o:hr="t"/>
        </w:pict>
      </w:r>
    </w:p>
    <w:p w14:paraId="629B58E2" w14:textId="77777777" w:rsidR="00FA7026" w:rsidRDefault="00000000">
      <w:pPr>
        <w:pStyle w:val="Heading2"/>
      </w:pPr>
      <w:bookmarkStart w:id="22" w:name="Xb352819d8b6ea4bdcc862b982f692e979a135ec"/>
      <w:bookmarkEnd w:id="16"/>
      <w:bookmarkEnd w:id="21"/>
      <w:r>
        <w:t>4. Case Studies: Specific Translation Choices</w:t>
      </w:r>
    </w:p>
    <w:p w14:paraId="7CADC49E" w14:textId="77777777" w:rsidR="00FA7026" w:rsidRDefault="00000000">
      <w:pPr>
        <w:pStyle w:val="FirstParagraph"/>
      </w:pPr>
      <w:r>
        <w:t>The methodology is best understood through specific examples. This section examines three translation choices, demonstrating how the validation process works in practice.</w:t>
      </w:r>
    </w:p>
    <w:p w14:paraId="315CDE88" w14:textId="77777777" w:rsidR="00FA7026" w:rsidRDefault="00000000">
      <w:pPr>
        <w:pStyle w:val="Heading3"/>
      </w:pPr>
      <w:bookmarkStart w:id="23" w:name="case-study-skillful-means-loving-tricks"/>
      <w:r>
        <w:t>4.1 Case Study: “Skillful Means” → “Loving Tricks”</w:t>
      </w:r>
    </w:p>
    <w:p w14:paraId="52D1C7EB" w14:textId="77777777" w:rsidR="00FA7026" w:rsidRDefault="00000000">
      <w:pPr>
        <w:pStyle w:val="FirstParagraph"/>
      </w:pPr>
      <w:r>
        <w:t xml:space="preserve">The Sanskrit term </w:t>
      </w:r>
      <w:r>
        <w:rPr>
          <w:i/>
          <w:iCs/>
        </w:rPr>
        <w:t>upāya</w:t>
      </w:r>
      <w:r>
        <w:t xml:space="preserve"> (Chinese: </w:t>
      </w:r>
      <w:r>
        <w:rPr>
          <w:rFonts w:hint="eastAsia"/>
        </w:rPr>
        <w:t>方便</w:t>
      </w:r>
      <w:r>
        <w:rPr>
          <w:rFonts w:hint="eastAsia"/>
        </w:rPr>
        <w:t>)</w:t>
      </w:r>
      <w:r>
        <w:t xml:space="preserve"> is typically rendered “skillful means” or “expedient methods.” This translation is technically accurate but tonally problematic: “expedient” sounds calculating, even manipulative.</w:t>
      </w:r>
    </w:p>
    <w:p w14:paraId="54EF6B45" w14:textId="77777777" w:rsidR="00FA7026" w:rsidRDefault="00000000">
      <w:pPr>
        <w:pStyle w:val="BodyText"/>
      </w:pPr>
      <w:r>
        <w:rPr>
          <w:b/>
          <w:bCs/>
        </w:rPr>
        <w:t>The Vernacular Choice</w:t>
      </w:r>
      <w:r>
        <w:t xml:space="preserve">: In the Blues interpretation, </w:t>
      </w:r>
      <w:r>
        <w:rPr>
          <w:i/>
          <w:iCs/>
        </w:rPr>
        <w:t>upāya</w:t>
      </w:r>
      <w:r>
        <w:t xml:space="preserve"> becomes “loving tricks”—the compassionate strategems a teacher uses to reach students where they are.</w:t>
      </w:r>
    </w:p>
    <w:p w14:paraId="7FF31B4A" w14:textId="77777777" w:rsidR="00FA7026" w:rsidRDefault="00000000">
      <w:pPr>
        <w:pStyle w:val="BodyText"/>
      </w:pPr>
      <w:r>
        <w:rPr>
          <w:b/>
          <w:bCs/>
        </w:rPr>
        <w:lastRenderedPageBreak/>
        <w:t>Validation</w:t>
      </w:r>
      <w:r>
        <w:t xml:space="preserve">: - </w:t>
      </w:r>
      <w:r>
        <w:rPr>
          <w:i/>
          <w:iCs/>
        </w:rPr>
        <w:t>AI Verification</w:t>
      </w:r>
      <w:r>
        <w:t xml:space="preserve">: Confirmed that “loving tricks” preserves the semantic content of </w:t>
      </w:r>
      <w:r>
        <w:rPr>
          <w:i/>
          <w:iCs/>
        </w:rPr>
        <w:t>upāya</w:t>
      </w:r>
      <w:r>
        <w:t xml:space="preserve">—strategic adaptations made for the benefit of others. - </w:t>
      </w:r>
      <w:r>
        <w:rPr>
          <w:i/>
          <w:iCs/>
        </w:rPr>
        <w:t>Scholarly Review</w:t>
      </w:r>
      <w:r>
        <w:t xml:space="preserve">: The Professor noted that “loving tricks” captures both the strategic dimension (tricks) and the compassionate motivation (loving) that characterize </w:t>
      </w:r>
      <w:r>
        <w:rPr>
          <w:i/>
          <w:iCs/>
        </w:rPr>
        <w:t>upāya</w:t>
      </w:r>
      <w:r>
        <w:t xml:space="preserve"> in Mahayana Buddhism. - </w:t>
      </w:r>
      <w:r>
        <w:rPr>
          <w:i/>
          <w:iCs/>
        </w:rPr>
        <w:t>Vernacular Review</w:t>
      </w:r>
      <w:r>
        <w:t>: The Bluesman affirmed that “loving tricks” sounds natural in Blues register and avoids the clinical feel of “expedient means.”</w:t>
      </w:r>
    </w:p>
    <w:p w14:paraId="2C6AF54C" w14:textId="77777777" w:rsidR="00FA7026" w:rsidRDefault="00000000">
      <w:pPr>
        <w:pStyle w:val="BodyText"/>
      </w:pPr>
      <w:r>
        <w:rPr>
          <w:b/>
          <w:bCs/>
        </w:rPr>
        <w:t>Pedagogical Weaving</w:t>
      </w:r>
      <w:r>
        <w:t>: To bridge vernacular and traditional terminology, the interpretation employs a “weaving” technique: occasional phrases like “loving tricks—what the scholars call skillful means—” that explicitly connect the vernacular term with its traditional equivalent. This teaches readers traditional Buddhist vocabulary while maintaining vernacular accessibility.</w:t>
      </w:r>
    </w:p>
    <w:p w14:paraId="1E51316A" w14:textId="77777777" w:rsidR="00FA7026" w:rsidRDefault="00000000">
      <w:pPr>
        <w:pStyle w:val="BodyText"/>
      </w:pPr>
      <w:r>
        <w:rPr>
          <w:b/>
          <w:bCs/>
        </w:rPr>
        <w:t>Result</w:t>
      </w:r>
      <w:r>
        <w:t>: Analysis showed a 1,350% increase in term linkage after implementing pedagogical weaving—dramatically improving readers’ connection between vernacular and scholarly terminology.</w:t>
      </w:r>
    </w:p>
    <w:p w14:paraId="2BE169F4" w14:textId="77777777" w:rsidR="00FA7026" w:rsidRDefault="00000000">
      <w:pPr>
        <w:pStyle w:val="Heading3"/>
      </w:pPr>
      <w:bookmarkStart w:id="24" w:name="X151b448b1e0953a21a6e854571974677fe5bad0"/>
      <w:bookmarkEnd w:id="23"/>
      <w:r>
        <w:t>4.2 Case Study: “Never Disparaging” → “Never Looked Down”</w:t>
      </w:r>
    </w:p>
    <w:p w14:paraId="01AA8332" w14:textId="77777777" w:rsidR="00FA7026" w:rsidRDefault="00000000">
      <w:pPr>
        <w:pStyle w:val="FirstParagraph"/>
      </w:pPr>
      <w:r>
        <w:t xml:space="preserve">Lotus Sutra Chapter 20 tells the story of a bodhisattva named </w:t>
      </w:r>
      <w:r>
        <w:rPr>
          <w:rFonts w:hint="eastAsia"/>
        </w:rPr>
        <w:t>常不輕</w:t>
      </w:r>
      <w:r>
        <w:t xml:space="preserve"> (Japanese: Jōfukyō; Sanskrit: Sadāparibhūta), traditionally rendered “Never Disparaging” or “Never Despising.”</w:t>
      </w:r>
    </w:p>
    <w:p w14:paraId="0577C892" w14:textId="77777777" w:rsidR="00FA7026" w:rsidRDefault="00000000">
      <w:pPr>
        <w:pStyle w:val="BodyText"/>
      </w:pPr>
      <w:r>
        <w:rPr>
          <w:b/>
          <w:bCs/>
        </w:rPr>
        <w:t>The Vernacular Choice</w:t>
      </w:r>
      <w:r>
        <w:t>: The Blues interpretation uses “Never Looked Down”—a phrase that carries the weight of social hierarchy, racism, and systemic degradation in African American English.</w:t>
      </w:r>
    </w:p>
    <w:p w14:paraId="5F562D61" w14:textId="77777777" w:rsidR="00FA7026" w:rsidRDefault="00000000">
      <w:pPr>
        <w:pStyle w:val="BodyText"/>
      </w:pPr>
      <w:r>
        <w:rPr>
          <w:b/>
          <w:bCs/>
        </w:rPr>
        <w:t>Validation</w:t>
      </w:r>
      <w:r>
        <w:t xml:space="preserve">: - </w:t>
      </w:r>
      <w:r>
        <w:rPr>
          <w:i/>
          <w:iCs/>
        </w:rPr>
        <w:t>AI Verification</w:t>
      </w:r>
      <w:r>
        <w:t xml:space="preserve">: Confirmed semantic equivalence—both phrases describe a consistent refusal to regard others as inferior. - </w:t>
      </w:r>
      <w:r>
        <w:rPr>
          <w:i/>
          <w:iCs/>
        </w:rPr>
        <w:t>Scholarly Review</w:t>
      </w:r>
      <w:r>
        <w:t xml:space="preserve">: The Professor noted that “Never Looked Down” captures the active, ongoing nature of the Chinese construction </w:t>
      </w:r>
      <w:r>
        <w:rPr>
          <w:rFonts w:hint="eastAsia"/>
        </w:rPr>
        <w:t>(</w:t>
      </w:r>
      <w:r>
        <w:rPr>
          <w:rFonts w:hint="eastAsia"/>
        </w:rPr>
        <w:t>不輕</w:t>
      </w:r>
      <w:r>
        <w:t xml:space="preserve"> </w:t>
      </w:r>
      <w:r>
        <w:rPr>
          <w:i/>
          <w:iCs/>
        </w:rPr>
        <w:t>bu qing</w:t>
      </w:r>
      <w:r>
        <w:t xml:space="preserve">—“not treating lightly”). - </w:t>
      </w:r>
      <w:r>
        <w:rPr>
          <w:i/>
          <w:iCs/>
        </w:rPr>
        <w:t>Vernacular Review</w:t>
      </w:r>
      <w:r>
        <w:t>: The Bluesman identified powerful cultural resonance: “Looking down on somebody” is how systemic degradation is described in African American English.</w:t>
      </w:r>
    </w:p>
    <w:p w14:paraId="0817D6C0" w14:textId="77777777" w:rsidR="00FA7026" w:rsidRDefault="00000000">
      <w:pPr>
        <w:pStyle w:val="BodyText"/>
      </w:pPr>
      <w:r>
        <w:rPr>
          <w:b/>
          <w:bCs/>
        </w:rPr>
        <w:t>Cultural Significance</w:t>
      </w:r>
      <w:r>
        <w:t>: This translation choice connects ancient Buddhist teaching to lived experience of marginalization. When Never Looked Down bows to people who beat him, declaring “I would never dare look down on you—you’re going to become a Buddha,” he enacts a radical theology: seeing Buddha-nature in those who cannot see it in themselves.</w:t>
      </w:r>
    </w:p>
    <w:p w14:paraId="159640E5" w14:textId="77777777" w:rsidR="00FA7026" w:rsidRDefault="00000000">
      <w:pPr>
        <w:pStyle w:val="BodyText"/>
      </w:pPr>
      <w:r>
        <w:t>This parallels African American spiritual resistance: maintaining dignity and prophesying liberation even in the face of violent oppression.</w:t>
      </w:r>
    </w:p>
    <w:p w14:paraId="40444D0F" w14:textId="77777777" w:rsidR="00FA7026" w:rsidRDefault="00000000">
      <w:pPr>
        <w:pStyle w:val="Heading3"/>
      </w:pPr>
      <w:bookmarkStart w:id="25" w:name="X98f03ecb9d47f164902859859f7c134b67c8727"/>
      <w:bookmarkEnd w:id="24"/>
      <w:r>
        <w:t>4.3 Case Study: The Heart Sutra “Doubt” Substitution</w:t>
      </w:r>
    </w:p>
    <w:p w14:paraId="174D1750" w14:textId="77777777" w:rsidR="00FA7026" w:rsidRDefault="00000000">
      <w:pPr>
        <w:pStyle w:val="FirstParagraph"/>
      </w:pPr>
      <w:r>
        <w:t xml:space="preserve">The Heart Sutra’s famous negation series—“No eye, ear, nose, tongue, body, mind” </w:t>
      </w:r>
      <w:r>
        <w:rPr>
          <w:rFonts w:hint="eastAsia"/>
        </w:rPr>
        <w:t>(</w:t>
      </w:r>
      <w:r>
        <w:rPr>
          <w:rFonts w:hint="eastAsia"/>
        </w:rPr>
        <w:t>無眼、耳、鼻、舌、身、意</w:t>
      </w:r>
      <w:r>
        <w:rPr>
          <w:rFonts w:hint="eastAsia"/>
        </w:rPr>
        <w:t>)</w:t>
      </w:r>
      <w:r>
        <w:rPr>
          <w:rFonts w:hint="eastAsia"/>
        </w:rPr>
        <w:t>—</w:t>
      </w:r>
      <w:r>
        <w:rPr>
          <w:rFonts w:hint="eastAsia"/>
        </w:rPr>
        <w:t>was</w:t>
      </w:r>
      <w:r>
        <w:t xml:space="preserve"> adapted in the Blues verse section to “No nose to smell, no doubt to clear.”</w:t>
      </w:r>
    </w:p>
    <w:p w14:paraId="038409E5" w14:textId="77777777" w:rsidR="00FA7026" w:rsidRDefault="00000000">
      <w:pPr>
        <w:pStyle w:val="BodyText"/>
      </w:pPr>
      <w:r>
        <w:rPr>
          <w:b/>
          <w:bCs/>
        </w:rPr>
        <w:lastRenderedPageBreak/>
        <w:t>The Problem</w:t>
      </w:r>
      <w:r>
        <w:t>: This substitutes a psychological state (“doubt”) for an ontological category (“mind”). It is, strictly speaking, a theological deviation.</w:t>
      </w:r>
    </w:p>
    <w:p w14:paraId="7B7C41A6" w14:textId="77777777" w:rsidR="00FA7026" w:rsidRDefault="00000000">
      <w:pPr>
        <w:pStyle w:val="BodyText"/>
      </w:pPr>
      <w:r>
        <w:rPr>
          <w:b/>
          <w:bCs/>
        </w:rPr>
        <w:t>The Defense</w:t>
      </w:r>
      <w:r>
        <w:t xml:space="preserve">: - </w:t>
      </w:r>
      <w:r>
        <w:rPr>
          <w:i/>
          <w:iCs/>
        </w:rPr>
        <w:t>Rhyme Requirements</w:t>
      </w:r>
      <w:r>
        <w:t xml:space="preserve">: The verse section requires rhyme to function as song. “Doubt” rhymes with “shout” (in a nearby line); “mind” does not fit the rhyme scheme. - </w:t>
      </w:r>
      <w:r>
        <w:rPr>
          <w:i/>
          <w:iCs/>
        </w:rPr>
        <w:t>Functional Equivalence</w:t>
      </w:r>
      <w:r>
        <w:t xml:space="preserve">: The Buddhist teaching negates the mind to point toward a state beyond conceptual obstruction. “Doubt” functions as exactly such an obstruction. Clearing doubt and clearing the conceptual mind produce equivalent results. - </w:t>
      </w:r>
      <w:r>
        <w:rPr>
          <w:i/>
          <w:iCs/>
        </w:rPr>
        <w:t>Traditional Support</w:t>
      </w:r>
      <w:r>
        <w:t xml:space="preserve">: The translation choice finds additional support in Buddhist psychology. </w:t>
      </w:r>
      <w:r>
        <w:rPr>
          <w:i/>
          <w:iCs/>
        </w:rPr>
        <w:t>Vicikitsā</w:t>
      </w:r>
      <w:r>
        <w:t xml:space="preserve"> (doubt) is one of the Five Hindrances (</w:t>
      </w:r>
      <w:r>
        <w:rPr>
          <w:i/>
          <w:iCs/>
        </w:rPr>
        <w:t>nīvaraṇa</w:t>
      </w:r>
      <w:r>
        <w:t xml:space="preserve">) that obstruct meditation and spiritual progress. The Buddha teaches that </w:t>
      </w:r>
      <w:r>
        <w:rPr>
          <w:i/>
          <w:iCs/>
        </w:rPr>
        <w:t>vicikitsā</w:t>
      </w:r>
      <w:r>
        <w:t xml:space="preserve"> manifests as inability to commit—to teaching, to practice, to one’s own capacity for awakening. When doubt is cleared, the mind (</w:t>
      </w:r>
      <w:r>
        <w:rPr>
          <w:i/>
          <w:iCs/>
        </w:rPr>
        <w:t>citta</w:t>
      </w:r>
      <w:r>
        <w:t xml:space="preserve">) becomes clear; the two are causally related. The Blues rendering that emphasizes clearing doubt before truth can appear is thus not a departure from Buddhist teaching but an amplification of what the tradition has always held. - </w:t>
      </w:r>
      <w:r>
        <w:rPr>
          <w:i/>
          <w:iCs/>
        </w:rPr>
        <w:t>Transparency</w:t>
      </w:r>
      <w:r>
        <w:t>: The Translator’s Note explicitly documents this substitution, explaining both the practical reason (rhyme) and the theological rationale (functional equivalence).</w:t>
      </w:r>
    </w:p>
    <w:p w14:paraId="68EF64A1" w14:textId="77777777" w:rsidR="00FA7026" w:rsidRDefault="00000000">
      <w:pPr>
        <w:pStyle w:val="BodyText"/>
      </w:pPr>
      <w:r>
        <w:rPr>
          <w:b/>
          <w:bCs/>
        </w:rPr>
        <w:t>Scholarly Approval</w:t>
      </w:r>
      <w:r>
        <w:t>: The Professor accepted this substitution as “defensible”—not technically precise, but theologically reasonable within the constraints of poetic form.</w:t>
      </w:r>
    </w:p>
    <w:p w14:paraId="42F460E9" w14:textId="77777777" w:rsidR="00FA7026" w:rsidRDefault="00000000">
      <w:pPr>
        <w:pStyle w:val="Heading3"/>
      </w:pPr>
      <w:bookmarkStart w:id="26" w:name="case-study-the-parable-of-the-poor-son"/>
      <w:bookmarkEnd w:id="25"/>
      <w:r>
        <w:t>4.4 Case Study: The Parable of the Poor Son</w:t>
      </w:r>
    </w:p>
    <w:p w14:paraId="34369E1E" w14:textId="77777777" w:rsidR="00FA7026" w:rsidRDefault="00000000">
      <w:pPr>
        <w:pStyle w:val="FirstParagraph"/>
      </w:pPr>
      <w:r>
        <w:t>A fourth case study demonstrates how Buddhist-Christian dialogue emerges organically when Buddhist scripture is rendered in Blues language. Chapter 4 of the Lotus Sutra contains the Parable of the Wealthy Man and His Poor Son—a teaching that has direct parallels to the Christian Parable of the Prodigal Son, yet with crucial differences that illuminate the distinctive Buddhist contribution.</w:t>
      </w:r>
    </w:p>
    <w:p w14:paraId="2E5CA5B6" w14:textId="77777777" w:rsidR="00FA7026" w:rsidRDefault="00000000">
      <w:pPr>
        <w:pStyle w:val="BodyText"/>
      </w:pPr>
      <w:r>
        <w:t>In the biblical parable (Luke 15:11-32), a wayward son leaves home, squanders his inheritance, and returns in shame. His father sees him from afar, runs to embrace him, and immediately restores him to full sonship with a feast and celebration. The theological emphasis is on unconditional grace: the father’s love requires no preparation, no gradual restoration, no earning of worthiness.</w:t>
      </w:r>
    </w:p>
    <w:p w14:paraId="334E1587" w14:textId="77777777" w:rsidR="00FA7026" w:rsidRDefault="00000000">
      <w:pPr>
        <w:pStyle w:val="BodyText"/>
      </w:pPr>
      <w:r>
        <w:t>The Lotus Sutra’s parable begins similarly: a son leaves home and wanders for decades, becoming impoverished and losing all memory of his wealthy origin. When he finally returns, his father recognizes him—but the son does not recognize his father. More significantly, the son has developed what Buddhist psychology calls an “inferior disposition” (</w:t>
      </w:r>
      <w:r>
        <w:rPr>
          <w:i/>
          <w:iCs/>
        </w:rPr>
        <w:t>adhimukti</w:t>
      </w:r>
      <w:r>
        <w:t>): he cannot believe he is worthy of his father’s wealth. If the father embraces him immediately, the son will be overwhelmed and flee.</w:t>
      </w:r>
    </w:p>
    <w:p w14:paraId="559CB0C9" w14:textId="77777777" w:rsidR="00FA7026" w:rsidRDefault="00000000">
      <w:pPr>
        <w:pStyle w:val="BodyText"/>
      </w:pPr>
      <w:r>
        <w:t xml:space="preserve">Here is where the Buddhist teaching diverges: the father does not embrace the son immediately. Instead, he hires him as a scavenger, cleaning toilets for modest wages. Over twenty years, the father gradually increases the son’s responsibilities, raises his wages, </w:t>
      </w:r>
      <w:r>
        <w:lastRenderedPageBreak/>
        <w:t>and slowly cultivates in the son the capacity to receive his inheritance. Only at the end of his life does the father reveal the son’s true identity.</w:t>
      </w:r>
      <w:r>
        <w:rPr>
          <w:rStyle w:val="FootnoteReference"/>
        </w:rPr>
        <w:footnoteReference w:id="11"/>
      </w:r>
    </w:p>
    <w:p w14:paraId="7736F991" w14:textId="77777777" w:rsidR="00FA7026" w:rsidRDefault="00000000">
      <w:pPr>
        <w:pStyle w:val="BodyText"/>
      </w:pPr>
      <w:r>
        <w:t>In the formal English translation, this gradual process appears as follows:</w:t>
      </w:r>
    </w:p>
    <w:p w14:paraId="131114C2" w14:textId="77777777" w:rsidR="00FA7026" w:rsidRDefault="00000000">
      <w:pPr>
        <w:pStyle w:val="BlockText"/>
      </w:pPr>
      <w:r>
        <w:t>“The elder then employed expedient means, secretly sending two men—gaunt, without dignity—to say, ‘We will hire you to work here, removing dirt and excrement, and we will double your usual wages.’ The poor son, on hearing this, was happy to come and work.”</w:t>
      </w:r>
      <w:r>
        <w:rPr>
          <w:rStyle w:val="FootnoteReference"/>
        </w:rPr>
        <w:footnoteReference w:id="12"/>
      </w:r>
    </w:p>
    <w:p w14:paraId="11560B4E" w14:textId="77777777" w:rsidR="00FA7026" w:rsidRDefault="00000000">
      <w:pPr>
        <w:pStyle w:val="FirstParagraph"/>
      </w:pPr>
      <w:r>
        <w:t>In the Blues rendering:</w:t>
      </w:r>
    </w:p>
    <w:p w14:paraId="2CFC64FC" w14:textId="77777777" w:rsidR="00FA7026" w:rsidRDefault="00000000">
      <w:pPr>
        <w:pStyle w:val="BlockText"/>
      </w:pPr>
      <w:r>
        <w:t>“So the old man got clever. Sent two raggedy-looking workers to find that boy. They said, ‘Hey man, we got a job for you. Cleaning out the waste pits. Pay’s double what you been making.’ And the poor son—still didn’t know who he really was—said, ‘Alright then. I’ll take that work.’ Happy to get it, too. Happy to shovel other people’s mess for a living, not knowing his daddy owned the whole place.”</w:t>
      </w:r>
    </w:p>
    <w:p w14:paraId="69BAF37B" w14:textId="77777777" w:rsidR="00FA7026" w:rsidRDefault="00000000">
      <w:pPr>
        <w:pStyle w:val="FirstParagraph"/>
      </w:pPr>
      <w:r>
        <w:t>The Blues rendering achieves precisely the dynamic equivalence Nida advocated: it makes viscerally present what the formal translation obscures—the pathos of working for “other people’s mess,” the irony of a rich man’s son grateful for toilet-cleaning wages. For African-American readers, this imagery resonates with ancestral experience—generations of Black workers doing the “dirty work” of American prosperity while being denied full membership in the society they built.</w:t>
      </w:r>
    </w:p>
    <w:p w14:paraId="441BB104" w14:textId="77777777" w:rsidR="00FA7026" w:rsidRDefault="00000000">
      <w:pPr>
        <w:pStyle w:val="BodyText"/>
      </w:pPr>
      <w:r>
        <w:t>But the parable’s deepest teaching concerns the son’s “inferior disposition”—his inability to recognize his own worth. This is the Buddhist psychological insight that distinguishes the parable from its Christian counterpart. Unconditional grace, in this teaching, is not enough. The son must also be prepared to receive grace. The father’s twenty-year process is not punishment or delay; it is therapeutic. The son must grow into the capacity for inheriting what was always his.</w:t>
      </w:r>
    </w:p>
    <w:p w14:paraId="7562BF8A" w14:textId="77777777" w:rsidR="00FA7026" w:rsidRDefault="00000000">
      <w:pPr>
        <w:pStyle w:val="BodyText"/>
      </w:pPr>
      <w:r>
        <w:t>This teaching speaks directly to African-American experience of internalized oppression—the psychological damage of being told for generations that one is inferior, incapable, unworthy. The Blues tradition addresses this damage through its insistence on fundamental dignity: “I’m a man,” “Respect yourself,” “I got a right to sing the blues.” The Buddhist teaching provides philosophical framework for this same project: the “inferior disposition” is not one’s true nature but a conditioned state that can be gradually healed through patient practice.</w:t>
      </w:r>
    </w:p>
    <w:p w14:paraId="685B1036" w14:textId="77777777" w:rsidR="00FA7026" w:rsidRDefault="00000000">
      <w:pPr>
        <w:pStyle w:val="BodyText"/>
      </w:pPr>
      <w:r>
        <w:lastRenderedPageBreak/>
        <w:t>The Blues Lotus Sutra, at this textual moment, becomes a site where Buddhist psychology and African-American experience of recovery from internalized oppression meet—where the Dharma speaks not as foreign philosophy but as articulation of what the community has always known: that healing from trauma takes time, that dignity must sometimes be cultivated before it can be claimed, and that the father’s patient love is not withholding but wise.</w:t>
      </w:r>
    </w:p>
    <w:p w14:paraId="0889C3DC" w14:textId="77777777" w:rsidR="00FA7026" w:rsidRDefault="00CA2DDA">
      <w:r>
        <w:rPr>
          <w:noProof/>
        </w:rPr>
        <w:pict w14:anchorId="58909F53">
          <v:rect id="_x0000_i1029" alt="" style="width:468pt;height:.05pt;mso-width-percent:0;mso-height-percent:0;mso-width-percent:0;mso-height-percent:0" o:hralign="center" o:hrstd="t" o:hr="t"/>
        </w:pict>
      </w:r>
    </w:p>
    <w:p w14:paraId="282B730A" w14:textId="77777777" w:rsidR="00FA7026" w:rsidRDefault="00000000">
      <w:pPr>
        <w:pStyle w:val="Heading2"/>
      </w:pPr>
      <w:bookmarkStart w:id="27" w:name="theological-defense"/>
      <w:bookmarkEnd w:id="22"/>
      <w:bookmarkEnd w:id="26"/>
      <w:r>
        <w:t>5. Theological Defense</w:t>
      </w:r>
    </w:p>
    <w:p w14:paraId="25E90F3E" w14:textId="77777777" w:rsidR="00FA7026" w:rsidRDefault="00000000">
      <w:pPr>
        <w:pStyle w:val="FirstParagraph"/>
      </w:pPr>
      <w:r>
        <w:t>The methodology and case studies demonstrate rigor, but theological objections may remain. This section addresses common criticisms.</w:t>
      </w:r>
    </w:p>
    <w:p w14:paraId="78FA715F" w14:textId="77777777" w:rsidR="00FA7026" w:rsidRDefault="00000000">
      <w:pPr>
        <w:pStyle w:val="Heading3"/>
      </w:pPr>
      <w:bookmarkStart w:id="28" w:name="X35f927edd861fd8cd3f801b18eb3a461e99c454"/>
      <w:r>
        <w:t>5.1 Objection: “This is reinterpretation, not translation.”</w:t>
      </w:r>
    </w:p>
    <w:p w14:paraId="3ADC3E07" w14:textId="77777777" w:rsidR="00FA7026" w:rsidRDefault="00000000">
      <w:pPr>
        <w:pStyle w:val="FirstParagraph"/>
      </w:pPr>
      <w:r>
        <w:t>All translation involves interpretation. The only question is whether the interpretation is conscious and reasoned or unconscious and arbitrary.</w:t>
      </w:r>
    </w:p>
    <w:p w14:paraId="2E445767" w14:textId="77777777" w:rsidR="00FA7026" w:rsidRDefault="00000000">
      <w:pPr>
        <w:pStyle w:val="BodyText"/>
      </w:pPr>
      <w:r>
        <w:t xml:space="preserve">Every word choice in every translation reflects interpretive decisions. When a translator chooses “suffering” rather than “stress” or “unsatisfactoriness” for </w:t>
      </w:r>
      <w:r>
        <w:rPr>
          <w:i/>
          <w:iCs/>
        </w:rPr>
        <w:t>dukkha</w:t>
      </w:r>
      <w:r>
        <w:t>, interpretation has occurred. The virtue of the present methodology is that interpretation is explicit, documented, and defensible.</w:t>
      </w:r>
    </w:p>
    <w:p w14:paraId="0ED9E17D" w14:textId="77777777" w:rsidR="00FA7026" w:rsidRDefault="00000000">
      <w:pPr>
        <w:pStyle w:val="BodyText"/>
      </w:pPr>
      <w:r>
        <w:t>Moreover, the term “interpretation” may be more honest than “translation” for any rendering of ancient sacred texts. We are not producing originals but interpretive performances—like jazz musicians interpreting standards. The test is not literal fidelity but whether the performance communicates the essential meaning.</w:t>
      </w:r>
    </w:p>
    <w:p w14:paraId="57AC2E6F" w14:textId="77777777" w:rsidR="00FA7026" w:rsidRDefault="00000000">
      <w:pPr>
        <w:pStyle w:val="Heading3"/>
      </w:pPr>
      <w:bookmarkStart w:id="29" w:name="X6f9793da48f0384b6e4203251183dd70dc1a615"/>
      <w:bookmarkEnd w:id="28"/>
      <w:r>
        <w:t>5.2 Objection: “Vernacular dumbs down the teaching.”</w:t>
      </w:r>
    </w:p>
    <w:p w14:paraId="037E30BE" w14:textId="77777777" w:rsidR="00FA7026" w:rsidRDefault="00000000">
      <w:pPr>
        <w:pStyle w:val="FirstParagraph"/>
      </w:pPr>
      <w:r>
        <w:t>This objection reflects an unsupported assumption that elevated register equals intellectual seriousness. Luther’s German Bible did not dumb down Christianity; it made Scripture available to those previously excluded. Accessibility and depth are not opposites.</w:t>
      </w:r>
    </w:p>
    <w:p w14:paraId="1B20A964" w14:textId="77777777" w:rsidR="00FA7026" w:rsidRDefault="00000000">
      <w:pPr>
        <w:pStyle w:val="BodyText"/>
      </w:pPr>
      <w:r>
        <w:t xml:space="preserve">In fact, vernacular interpretation may </w:t>
      </w:r>
      <w:r>
        <w:rPr>
          <w:i/>
          <w:iCs/>
        </w:rPr>
        <w:t>increase</w:t>
      </w:r>
      <w:r>
        <w:t xml:space="preserve"> depth of engagement. A teaching that enters through familiar language and cultural resonance reaches deeper than one that remains abstract and foreign. The test is not how sophisticated the translation sounds but how effectively it transforms readers.</w:t>
      </w:r>
    </w:p>
    <w:p w14:paraId="4F0F15ED" w14:textId="77777777" w:rsidR="00FA7026" w:rsidRDefault="00000000">
      <w:pPr>
        <w:pStyle w:val="Heading3"/>
      </w:pPr>
      <w:bookmarkStart w:id="30" w:name="X4975f805c635ba408cba0eece4595b41198588d"/>
      <w:bookmarkEnd w:id="29"/>
      <w:r>
        <w:t>5.3 Objection: “Blues is entertainment, not scripture.”</w:t>
      </w:r>
    </w:p>
    <w:p w14:paraId="10C91292" w14:textId="77777777" w:rsidR="00FA7026" w:rsidRDefault="00000000">
      <w:pPr>
        <w:pStyle w:val="FirstParagraph"/>
      </w:pPr>
      <w:r>
        <w:t>This objection misunderstands the Blues tradition. Blues emerged from spirituals, work songs, and field hollers—sacred forms developed under slavery. It has always carried profound truth in “secular” clothing.</w:t>
      </w:r>
    </w:p>
    <w:p w14:paraId="0CDA2CFB" w14:textId="77777777" w:rsidR="00FA7026" w:rsidRDefault="00000000">
      <w:pPr>
        <w:pStyle w:val="BodyText"/>
      </w:pPr>
      <w:r>
        <w:lastRenderedPageBreak/>
        <w:t>The distinction between sacred and secular is, in any case, a Western imposition. Buddhist teaching recognizes no such boundary. If a Blues song about suffering and liberation communicates dharma, it is dharma—regardless of genre classification.</w:t>
      </w:r>
    </w:p>
    <w:p w14:paraId="28FC46AB" w14:textId="77777777" w:rsidR="00FA7026" w:rsidRDefault="00000000">
      <w:pPr>
        <w:pStyle w:val="Heading3"/>
      </w:pPr>
      <w:bookmarkStart w:id="31" w:name="X82e5346e94f19b83c2b414ec0bb5c70cad570fd"/>
      <w:bookmarkEnd w:id="30"/>
      <w:r>
        <w:t>5.4 Objection: “AI cannot validate spiritual accuracy.”</w:t>
      </w:r>
    </w:p>
    <w:p w14:paraId="712FCB69" w14:textId="77777777" w:rsidR="00FA7026" w:rsidRDefault="00000000">
      <w:pPr>
        <w:pStyle w:val="FirstParagraph"/>
      </w:pPr>
      <w:r>
        <w:t xml:space="preserve">This objection contains an important truth. AI validates </w:t>
      </w:r>
      <w:r>
        <w:rPr>
          <w:i/>
          <w:iCs/>
        </w:rPr>
        <w:t>semantic</w:t>
      </w:r>
      <w:r>
        <w:t xml:space="preserve"> consistency, not spiritual authenticity. A passage might be semantically accurate yet spiritually misleading.</w:t>
      </w:r>
    </w:p>
    <w:p w14:paraId="519B6B50" w14:textId="77777777" w:rsidR="00FA7026" w:rsidRDefault="00000000">
      <w:pPr>
        <w:pStyle w:val="BodyText"/>
      </w:pPr>
      <w:r>
        <w:t>For this reason, the methodology includes human layers—scholarly and vernacular review—that evaluate dimensions AI cannot assess. The AI catches mechanical translation errors; the human reviewers evaluate theological implications and pastoral wisdom.</w:t>
      </w:r>
    </w:p>
    <w:p w14:paraId="5270B2C1" w14:textId="77777777" w:rsidR="00FA7026" w:rsidRDefault="00000000">
      <w:pPr>
        <w:pStyle w:val="Heading3"/>
      </w:pPr>
      <w:bookmarkStart w:id="32" w:name="the-theological-argument-upāya"/>
      <w:bookmarkEnd w:id="31"/>
      <w:r>
        <w:t>5.5 The Theological Argument: Upāya</w:t>
      </w:r>
    </w:p>
    <w:p w14:paraId="48867605" w14:textId="77777777" w:rsidR="00FA7026" w:rsidRDefault="00000000">
      <w:pPr>
        <w:pStyle w:val="FirstParagraph"/>
      </w:pPr>
      <w:r>
        <w:t xml:space="preserve">The strongest theological argument for vernacular interpretation comes from Buddhism itself: the doctrine of </w:t>
      </w:r>
      <w:r>
        <w:rPr>
          <w:i/>
          <w:iCs/>
        </w:rPr>
        <w:t>upāya</w:t>
      </w:r>
      <w:r>
        <w:t xml:space="preserve"> (skillful means).</w:t>
      </w:r>
    </w:p>
    <w:p w14:paraId="696A8AD6" w14:textId="77777777" w:rsidR="00FA7026" w:rsidRDefault="00000000">
      <w:pPr>
        <w:pStyle w:val="BodyText"/>
      </w:pPr>
      <w:r>
        <w:t>The Buddha, according to Mahayana teaching, adapts his message to the capabilities of his audience. He teaches meditation to one person, ethical conduct to another, philosophical analysis to a third—not because these represent different truths but because different listeners need different doors into the same truth.</w:t>
      </w:r>
    </w:p>
    <w:p w14:paraId="375D1899" w14:textId="77777777" w:rsidR="00FA7026" w:rsidRDefault="00000000">
      <w:pPr>
        <w:pStyle w:val="BodyText"/>
      </w:pPr>
      <w:r>
        <w:t xml:space="preserve">Vernacular interpretation is </w:t>
      </w:r>
      <w:r>
        <w:rPr>
          <w:i/>
          <w:iCs/>
        </w:rPr>
        <w:t>upāya</w:t>
      </w:r>
      <w:r>
        <w:t>. It opens a door that formal translations keep closed. If the dharma is to fulfill its function—“establishing all living beings in the Buddha way”—it must be accessible to all communities, not only those comfortable with academic register.</w:t>
      </w:r>
    </w:p>
    <w:p w14:paraId="09856BCB" w14:textId="77777777" w:rsidR="00FA7026" w:rsidRDefault="00000000">
      <w:pPr>
        <w:pStyle w:val="BodyText"/>
      </w:pPr>
      <w:r>
        <w:t>The Lotus Sutra itself makes this argument. In the Burning House parable (Chapter 3), the father uses “loving tricks” to get his children out of danger—promising them goat carts, deer carts, and ox carts, then giving them all the magnificent white-ox cart once they are safe. The diversity of provisional teachings serves the single goal of liberation.</w:t>
      </w:r>
    </w:p>
    <w:p w14:paraId="5E8505CA" w14:textId="77777777" w:rsidR="00FA7026" w:rsidRDefault="00CA2DDA">
      <w:r>
        <w:rPr>
          <w:noProof/>
        </w:rPr>
        <w:pict w14:anchorId="50F94A38">
          <v:rect id="_x0000_i1028" alt="" style="width:468pt;height:.05pt;mso-width-percent:0;mso-height-percent:0;mso-width-percent:0;mso-height-percent:0" o:hralign="center" o:hrstd="t" o:hr="t"/>
        </w:pict>
      </w:r>
    </w:p>
    <w:p w14:paraId="303BF551" w14:textId="77777777" w:rsidR="00FA7026" w:rsidRDefault="00000000">
      <w:pPr>
        <w:pStyle w:val="Heading2"/>
      </w:pPr>
      <w:bookmarkStart w:id="33" w:name="conclusion"/>
      <w:bookmarkEnd w:id="27"/>
      <w:bookmarkEnd w:id="32"/>
      <w:r>
        <w:t>Conclusion</w:t>
      </w:r>
    </w:p>
    <w:p w14:paraId="073F0397" w14:textId="77777777" w:rsidR="00FA7026" w:rsidRDefault="00000000">
      <w:pPr>
        <w:pStyle w:val="FirstParagraph"/>
      </w:pPr>
      <w:r>
        <w:t>This article has proposed a methodology for validating vernacular interpretation of Buddhist sacred texts. The three-layer process—AI verification, scholarly critique, and vernacular review—provides rigor without rigidity. It honors the source text while acknowledging that translation is always, at some level, creative interpretation.</w:t>
      </w:r>
    </w:p>
    <w:p w14:paraId="17795F32" w14:textId="77777777" w:rsidR="00FA7026" w:rsidRDefault="00000000">
      <w:pPr>
        <w:pStyle w:val="Heading3"/>
      </w:pPr>
      <w:bookmarkStart w:id="34" w:name="the-methodology-summarized"/>
      <w:r>
        <w:t>The Methodology Summarized</w:t>
      </w:r>
    </w:p>
    <w:p w14:paraId="2645C281" w14:textId="77777777" w:rsidR="00FA7026" w:rsidRDefault="00000000">
      <w:pPr>
        <w:pStyle w:val="Compact"/>
        <w:numPr>
          <w:ilvl w:val="0"/>
          <w:numId w:val="5"/>
        </w:numPr>
      </w:pPr>
      <w:r>
        <w:rPr>
          <w:b/>
          <w:bCs/>
        </w:rPr>
        <w:t>Begin with rigorous study</w:t>
      </w:r>
      <w:r>
        <w:t xml:space="preserve"> of the source text in its original language and cultural context.</w:t>
      </w:r>
    </w:p>
    <w:p w14:paraId="5D439153" w14:textId="77777777" w:rsidR="00FA7026" w:rsidRDefault="00000000">
      <w:pPr>
        <w:pStyle w:val="Compact"/>
        <w:numPr>
          <w:ilvl w:val="0"/>
          <w:numId w:val="5"/>
        </w:numPr>
      </w:pPr>
      <w:r>
        <w:rPr>
          <w:b/>
          <w:bCs/>
        </w:rPr>
        <w:t>Develop vernacular interpretation</w:t>
      </w:r>
      <w:r>
        <w:t xml:space="preserve"> through immersive engagement with the target register.</w:t>
      </w:r>
    </w:p>
    <w:p w14:paraId="042AFB6B" w14:textId="77777777" w:rsidR="00FA7026" w:rsidRDefault="00000000">
      <w:pPr>
        <w:pStyle w:val="Compact"/>
        <w:numPr>
          <w:ilvl w:val="0"/>
          <w:numId w:val="5"/>
        </w:numPr>
      </w:pPr>
      <w:r>
        <w:rPr>
          <w:b/>
          <w:bCs/>
        </w:rPr>
        <w:lastRenderedPageBreak/>
        <w:t>Validate against the original</w:t>
      </w:r>
      <w:r>
        <w:t xml:space="preserve"> using AI-powered semantic verification.</w:t>
      </w:r>
    </w:p>
    <w:p w14:paraId="7FFBD850" w14:textId="77777777" w:rsidR="00FA7026" w:rsidRDefault="00000000">
      <w:pPr>
        <w:pStyle w:val="Compact"/>
        <w:numPr>
          <w:ilvl w:val="0"/>
          <w:numId w:val="5"/>
        </w:numPr>
      </w:pPr>
      <w:r>
        <w:rPr>
          <w:b/>
          <w:bCs/>
        </w:rPr>
        <w:t>Subject to multi-agent critique</w:t>
      </w:r>
      <w:r>
        <w:t>: scholarly review for doctrinal precision, vernacular review for cultural authenticity.</w:t>
      </w:r>
    </w:p>
    <w:p w14:paraId="7BA667D9" w14:textId="77777777" w:rsidR="00FA7026" w:rsidRDefault="00000000">
      <w:pPr>
        <w:pStyle w:val="Compact"/>
        <w:numPr>
          <w:ilvl w:val="0"/>
          <w:numId w:val="5"/>
        </w:numPr>
      </w:pPr>
      <w:r>
        <w:rPr>
          <w:b/>
          <w:bCs/>
        </w:rPr>
        <w:t>Document all divergences</w:t>
      </w:r>
      <w:r>
        <w:t xml:space="preserve"> transparently, explaining the reason for each choice.</w:t>
      </w:r>
    </w:p>
    <w:p w14:paraId="39EAFA86" w14:textId="77777777" w:rsidR="00FA7026" w:rsidRDefault="00000000">
      <w:pPr>
        <w:pStyle w:val="Compact"/>
        <w:numPr>
          <w:ilvl w:val="0"/>
          <w:numId w:val="5"/>
        </w:numPr>
      </w:pPr>
      <w:r>
        <w:rPr>
          <w:b/>
          <w:bCs/>
        </w:rPr>
        <w:t>Weave traditional terminology</w:t>
      </w:r>
      <w:r>
        <w:t xml:space="preserve"> pedagogically, bridging vernacular and scholarly vocabulary.</w:t>
      </w:r>
    </w:p>
    <w:p w14:paraId="0699C8EA" w14:textId="77777777" w:rsidR="00FA7026" w:rsidRDefault="00000000">
      <w:pPr>
        <w:pStyle w:val="Heading3"/>
      </w:pPr>
      <w:bookmarkStart w:id="35" w:name="the-larger-claim"/>
      <w:bookmarkEnd w:id="34"/>
      <w:r>
        <w:t>The Larger Claim</w:t>
      </w:r>
    </w:p>
    <w:p w14:paraId="54BD7181" w14:textId="77777777" w:rsidR="00FA7026" w:rsidRDefault="00000000">
      <w:pPr>
        <w:pStyle w:val="FirstParagraph"/>
      </w:pPr>
      <w:r>
        <w:t>Buddhist dharma has always traveled by adapting to new cultures. It dressed in Chinese clothes, Japanese clothes, Tibetan clothes. In each case, the adaptation was not betrayal but renewal.</w:t>
      </w:r>
    </w:p>
    <w:p w14:paraId="02B83A0F" w14:textId="77777777" w:rsidR="00FA7026" w:rsidRDefault="00000000">
      <w:pPr>
        <w:pStyle w:val="BodyText"/>
      </w:pPr>
      <w:r>
        <w:t>The Blues tradition represents a profound American wisdom—a sophisticated response to suffering developed over centuries of struggle. To dress the dharma in Blues clothes is to continue the ancient process of adaptation, making the teaching accessible to communities for whom academic Buddhism remains foreign.</w:t>
      </w:r>
    </w:p>
    <w:p w14:paraId="7097FCE8" w14:textId="77777777" w:rsidR="00FA7026" w:rsidRDefault="00000000">
      <w:pPr>
        <w:pStyle w:val="BodyText"/>
      </w:pPr>
      <w:r>
        <w:t xml:space="preserve">This matters not just for accessibility but for authenticity. Buddhism teaches that wisdom arises through lived experience, not merely through study. A vernacular interpretation that connects dharma to the life-world of its readers may be </w:t>
      </w:r>
      <w:r>
        <w:rPr>
          <w:i/>
          <w:iCs/>
        </w:rPr>
        <w:t>more</w:t>
      </w:r>
      <w:r>
        <w:t xml:space="preserve"> authentic than a literal translation that remains intellectually accurate but experientially inert.</w:t>
      </w:r>
    </w:p>
    <w:p w14:paraId="11CE379D" w14:textId="77777777" w:rsidR="00FA7026" w:rsidRDefault="00000000">
      <w:pPr>
        <w:pStyle w:val="Heading3"/>
      </w:pPr>
      <w:bookmarkStart w:id="36" w:name="final-words"/>
      <w:bookmarkEnd w:id="35"/>
      <w:r>
        <w:t>Final Words</w:t>
      </w:r>
    </w:p>
    <w:p w14:paraId="2F3838A9" w14:textId="77777777" w:rsidR="00FA7026" w:rsidRDefault="00000000">
      <w:pPr>
        <w:pStyle w:val="FirstParagraph"/>
      </w:pPr>
      <w:r>
        <w:t>The Blues has always known how to carry heavy truth with a light touch, how to make the cosmic feel personal, how to honor both suffering and joy. Buddhist teaching knows the same things.</w:t>
      </w:r>
    </w:p>
    <w:p w14:paraId="1AE26ED5" w14:textId="77777777" w:rsidR="00FA7026" w:rsidRDefault="00000000">
      <w:pPr>
        <w:pStyle w:val="BodyText"/>
      </w:pPr>
      <w:r>
        <w:t xml:space="preserve">When these two wisdom traditions meet—when the ancient dharma is sung in contemporary Blues—something remarkable happens. Barriers dissolve. The teaching enters not just the head but the heart. People who would never open a scholarly Buddhist volume find themselves nodding, humming, </w:t>
      </w:r>
      <w:r>
        <w:rPr>
          <w:i/>
          <w:iCs/>
        </w:rPr>
        <w:t>feeling</w:t>
      </w:r>
      <w:r>
        <w:t xml:space="preserve"> the truth.</w:t>
      </w:r>
    </w:p>
    <w:p w14:paraId="7BC2A722" w14:textId="77777777" w:rsidR="00FA7026" w:rsidRDefault="00000000">
      <w:pPr>
        <w:pStyle w:val="BodyText"/>
      </w:pPr>
      <w:r>
        <w:t>That feeling is not distortion. It is transmission.</w:t>
      </w:r>
    </w:p>
    <w:p w14:paraId="7592C7AC" w14:textId="77777777" w:rsidR="00FA7026" w:rsidRDefault="00CA2DDA">
      <w:r>
        <w:rPr>
          <w:noProof/>
        </w:rPr>
        <w:pict w14:anchorId="0A83C511">
          <v:rect id="_x0000_i1027" alt="" style="width:468pt;height:.05pt;mso-width-percent:0;mso-height-percent:0;mso-width-percent:0;mso-height-percent:0" o:hralign="center" o:hrstd="t" o:hr="t"/>
        </w:pict>
      </w:r>
    </w:p>
    <w:p w14:paraId="1B030926" w14:textId="77777777" w:rsidR="00FA7026" w:rsidRDefault="00000000">
      <w:pPr>
        <w:pStyle w:val="Heading2"/>
      </w:pPr>
      <w:bookmarkStart w:id="37" w:name="notes"/>
      <w:bookmarkEnd w:id="33"/>
      <w:bookmarkEnd w:id="36"/>
      <w:r>
        <w:t>Notes</w:t>
      </w:r>
    </w:p>
    <w:p w14:paraId="5E82AD6D" w14:textId="77777777" w:rsidR="00FA7026" w:rsidRDefault="00CA2DDA">
      <w:r>
        <w:rPr>
          <w:noProof/>
        </w:rPr>
        <w:pict w14:anchorId="697E0676">
          <v:rect id="_x0000_i1026" alt="" style="width:468pt;height:.05pt;mso-width-percent:0;mso-height-percent:0;mso-width-percent:0;mso-height-percent:0" o:hralign="center" o:hrstd="t" o:hr="t"/>
        </w:pict>
      </w:r>
    </w:p>
    <w:p w14:paraId="56441865" w14:textId="77777777" w:rsidR="00FA7026" w:rsidRDefault="00000000">
      <w:pPr>
        <w:pStyle w:val="Heading2"/>
      </w:pPr>
      <w:bookmarkStart w:id="38" w:name="bibliography"/>
      <w:bookmarkEnd w:id="37"/>
      <w:r>
        <w:t>Bibliography</w:t>
      </w:r>
    </w:p>
    <w:p w14:paraId="0D68C6D1" w14:textId="77777777" w:rsidR="00FA7026" w:rsidRDefault="00000000">
      <w:pPr>
        <w:pStyle w:val="FirstParagraph"/>
      </w:pPr>
      <w:r>
        <w:t>Chen, Carolyn, and Russell Jeung, eds. </w:t>
      </w:r>
      <w:r>
        <w:rPr>
          <w:i/>
          <w:iCs/>
        </w:rPr>
        <w:t>Sustaining Faith Traditions: Race, Ethnicity, and Religion among the Latino and Asian American Second Generation</w:t>
      </w:r>
      <w:r>
        <w:t>. New York: NYU Press, 2012.</w:t>
      </w:r>
    </w:p>
    <w:p w14:paraId="079FF787" w14:textId="77777777" w:rsidR="00FA7026" w:rsidRDefault="00000000">
      <w:pPr>
        <w:pStyle w:val="BodyText"/>
      </w:pPr>
      <w:r>
        <w:lastRenderedPageBreak/>
        <w:t xml:space="preserve">Cone, James H. </w:t>
      </w:r>
      <w:r>
        <w:rPr>
          <w:i/>
          <w:iCs/>
        </w:rPr>
        <w:t>A Black Theology of Liberation</w:t>
      </w:r>
      <w:r>
        <w:t>. 40th anniversary ed. Maryknoll, NY: Orbis Books, 2010. Originally published 1970.</w:t>
      </w:r>
    </w:p>
    <w:p w14:paraId="1EE7A0FB" w14:textId="77777777" w:rsidR="00FA7026" w:rsidRDefault="00000000">
      <w:pPr>
        <w:pStyle w:val="BodyText"/>
      </w:pPr>
      <w:r>
        <w:t xml:space="preserve">Cone, James H. </w:t>
      </w:r>
      <w:r>
        <w:rPr>
          <w:i/>
          <w:iCs/>
        </w:rPr>
        <w:t>The Cross and the Lynching Tree</w:t>
      </w:r>
      <w:r>
        <w:t>. Maryknoll, NY: Orbis Books, 2011.</w:t>
      </w:r>
    </w:p>
    <w:p w14:paraId="371773BB" w14:textId="77777777" w:rsidR="00FA7026" w:rsidRDefault="00000000">
      <w:pPr>
        <w:pStyle w:val="BodyText"/>
      </w:pPr>
      <w:r>
        <w:t xml:space="preserve">Davis, Angela Y. </w:t>
      </w:r>
      <w:r>
        <w:rPr>
          <w:i/>
          <w:iCs/>
        </w:rPr>
        <w:t>Blues Legacies and Black Feminism: Gertrude “Ma” Rainey, Bessie Smith, and Billie Holiday</w:t>
      </w:r>
      <w:r>
        <w:t>. New York: Vintage Books, 1999.</w:t>
      </w:r>
    </w:p>
    <w:p w14:paraId="19BFAFC4" w14:textId="77777777" w:rsidR="00FA7026" w:rsidRDefault="00000000">
      <w:pPr>
        <w:pStyle w:val="BodyText"/>
      </w:pPr>
      <w:r>
        <w:t xml:space="preserve">Ellison, Ralph. </w:t>
      </w:r>
      <w:r>
        <w:rPr>
          <w:i/>
          <w:iCs/>
        </w:rPr>
        <w:t>Shadow and Act</w:t>
      </w:r>
      <w:r>
        <w:t>. New York: Random House, 1964.</w:t>
      </w:r>
    </w:p>
    <w:p w14:paraId="69C6BC15" w14:textId="77777777" w:rsidR="00FA7026" w:rsidRDefault="00000000">
      <w:pPr>
        <w:pStyle w:val="BodyText"/>
      </w:pPr>
      <w:r>
        <w:t xml:space="preserve">Luther, Martin. “On Translating: An Open Letter.” 1530. Translated by Charles M. Jacobs. In </w:t>
      </w:r>
      <w:r>
        <w:rPr>
          <w:i/>
          <w:iCs/>
        </w:rPr>
        <w:t>Works of Martin Luther</w:t>
      </w:r>
      <w:r>
        <w:t>. Philadelphia: Muhlenberg Press, 1932.</w:t>
      </w:r>
    </w:p>
    <w:p w14:paraId="082A4F38" w14:textId="77777777" w:rsidR="00FA7026" w:rsidRDefault="00000000">
      <w:pPr>
        <w:pStyle w:val="BodyText"/>
      </w:pPr>
      <w:r>
        <w:t xml:space="preserve">Nattier, Jan. “The Heart Sutra: A Chinese Apocryphal Text?” </w:t>
      </w:r>
      <w:r>
        <w:rPr>
          <w:i/>
          <w:iCs/>
        </w:rPr>
        <w:t>Journal of the International Association of Buddhist Studies</w:t>
      </w:r>
      <w:r>
        <w:t xml:space="preserve"> 15, no. 2 (1992): 153–223.</w:t>
      </w:r>
    </w:p>
    <w:p w14:paraId="5A2DC5CC" w14:textId="77777777" w:rsidR="00FA7026" w:rsidRDefault="00000000">
      <w:pPr>
        <w:pStyle w:val="BodyText"/>
      </w:pPr>
      <w:r>
        <w:t xml:space="preserve">Nida, Eugene A. </w:t>
      </w:r>
      <w:r>
        <w:rPr>
          <w:i/>
          <w:iCs/>
        </w:rPr>
        <w:t>Toward a Science of Translating: With Special Reference to Principles and Procedures Involved in Bible Translating</w:t>
      </w:r>
      <w:r>
        <w:t>. Leiden: E.J. Brill, 1964.</w:t>
      </w:r>
    </w:p>
    <w:p w14:paraId="290A14A1" w14:textId="77777777" w:rsidR="00FA7026" w:rsidRDefault="00000000">
      <w:pPr>
        <w:pStyle w:val="BodyText"/>
      </w:pPr>
      <w:r>
        <w:t>Pew Research Center. “Religious Landscape Study: Buddhists.” 2014. https://www.pewresearch.org/religion/religious-landscape-study/religious-tradition/buddhist/.</w:t>
      </w:r>
    </w:p>
    <w:p w14:paraId="02C61F16" w14:textId="77777777" w:rsidR="00FA7026" w:rsidRDefault="00000000">
      <w:pPr>
        <w:pStyle w:val="BodyText"/>
      </w:pPr>
      <w:r>
        <w:t xml:space="preserve">Reeves, Gene, trans. </w:t>
      </w:r>
      <w:r>
        <w:rPr>
          <w:i/>
          <w:iCs/>
        </w:rPr>
        <w:t>The Lotus Sutra: A Contemporary Translation of a Buddhist Classic</w:t>
      </w:r>
      <w:r>
        <w:t>. Boston: Wisdom Publications, 2008.</w:t>
      </w:r>
    </w:p>
    <w:p w14:paraId="05A3441F" w14:textId="77777777" w:rsidR="00FA7026" w:rsidRDefault="00000000">
      <w:pPr>
        <w:pStyle w:val="BodyText"/>
      </w:pPr>
      <w:r>
        <w:t xml:space="preserve">West, Cornel. </w:t>
      </w:r>
      <w:r>
        <w:rPr>
          <w:i/>
          <w:iCs/>
        </w:rPr>
        <w:t>Hope on a Tightrope: Words and Wisdom</w:t>
      </w:r>
      <w:r>
        <w:t>. New York: Smiley Books, 2008.</w:t>
      </w:r>
    </w:p>
    <w:p w14:paraId="6379046C" w14:textId="77777777" w:rsidR="00FA7026" w:rsidRDefault="00CA2DDA">
      <w:r>
        <w:rPr>
          <w:noProof/>
        </w:rPr>
        <w:pict w14:anchorId="0285B92F">
          <v:rect id="_x0000_i1025" alt="" style="width:468pt;height:.05pt;mso-width-percent:0;mso-height-percent:0;mso-width-percent:0;mso-height-percent:0" o:hralign="center" o:hrstd="t" o:hr="t"/>
        </w:pict>
      </w:r>
    </w:p>
    <w:p w14:paraId="34AB85B0" w14:textId="77777777" w:rsidR="00FA7026" w:rsidRDefault="00000000">
      <w:pPr>
        <w:pStyle w:val="FirstParagraph"/>
      </w:pPr>
      <w:r>
        <w:rPr>
          <w:i/>
          <w:iCs/>
        </w:rPr>
        <w:t>[Author biography removed for blind review]</w:t>
      </w:r>
      <w:bookmarkEnd w:id="0"/>
      <w:bookmarkEnd w:id="38"/>
    </w:p>
    <w:sectPr w:rsidR="00FA702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C62D" w14:textId="77777777" w:rsidR="00CA2DDA" w:rsidRDefault="00CA2DDA">
      <w:pPr>
        <w:spacing w:after="0"/>
      </w:pPr>
      <w:r>
        <w:separator/>
      </w:r>
    </w:p>
  </w:endnote>
  <w:endnote w:type="continuationSeparator" w:id="0">
    <w:p w14:paraId="2008FFE9" w14:textId="77777777" w:rsidR="00CA2DDA" w:rsidRDefault="00CA2D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87C7" w14:textId="77777777" w:rsidR="00CA2DDA" w:rsidRDefault="00CA2DDA">
      <w:pPr>
        <w:spacing w:after="0"/>
      </w:pPr>
      <w:r>
        <w:separator/>
      </w:r>
    </w:p>
  </w:footnote>
  <w:footnote w:type="continuationSeparator" w:id="0">
    <w:p w14:paraId="775A3668" w14:textId="77777777" w:rsidR="00CA2DDA" w:rsidRDefault="00CA2DDA">
      <w:pPr>
        <w:spacing w:after="0"/>
      </w:pPr>
      <w:r>
        <w:continuationSeparator/>
      </w:r>
    </w:p>
  </w:footnote>
  <w:footnote w:id="1">
    <w:p w14:paraId="7683FC0F" w14:textId="77777777" w:rsidR="00FA7026" w:rsidRDefault="00000000">
      <w:pPr>
        <w:pStyle w:val="FootnoteText"/>
      </w:pPr>
      <w:r>
        <w:rPr>
          <w:rStyle w:val="FootnoteReference"/>
        </w:rPr>
        <w:footnoteRef/>
      </w:r>
      <w:r>
        <w:t xml:space="preserve"> Martin Luther, “On Translating: An Open Letter” (1530), trans. Charles M. Jacobs, in </w:t>
      </w:r>
      <w:r>
        <w:rPr>
          <w:i/>
          <w:iCs/>
        </w:rPr>
        <w:t>Works of Martin Luther</w:t>
      </w:r>
      <w:r>
        <w:t xml:space="preserve"> (Philadelphia: Muhlenberg Press, 1932).</w:t>
      </w:r>
    </w:p>
  </w:footnote>
  <w:footnote w:id="2">
    <w:p w14:paraId="4069B8FF" w14:textId="77777777" w:rsidR="00FA7026" w:rsidRDefault="00000000">
      <w:pPr>
        <w:pStyle w:val="FootnoteText"/>
      </w:pPr>
      <w:r>
        <w:rPr>
          <w:rStyle w:val="FootnoteReference"/>
        </w:rPr>
        <w:footnoteRef/>
      </w:r>
      <w:r>
        <w:t xml:space="preserve"> Jan Nattier, “The Heart Sutra: A Chinese Apocryphal Text?” </w:t>
      </w:r>
      <w:r>
        <w:rPr>
          <w:i/>
          <w:iCs/>
        </w:rPr>
        <w:t>Journal of the International Association of Buddhist Studies</w:t>
      </w:r>
      <w:r>
        <w:t xml:space="preserve"> 15, no. 2 (1992): 153–223.</w:t>
      </w:r>
    </w:p>
  </w:footnote>
  <w:footnote w:id="3">
    <w:p w14:paraId="32EAD78B" w14:textId="77777777" w:rsidR="00FA7026" w:rsidRDefault="00000000">
      <w:pPr>
        <w:pStyle w:val="FootnoteText"/>
      </w:pPr>
      <w:r>
        <w:rPr>
          <w:rStyle w:val="FootnoteReference"/>
        </w:rPr>
        <w:footnoteRef/>
      </w:r>
      <w:r>
        <w:t xml:space="preserve"> Pew Research Center, “Religious Landscape Study: Buddhists,” 2014, https://www.pewresearch.org/religion/religious-landscape-study/religious-tradition/buddhist/. See also Carolyn Chen and Russell Jeung, eds., </w:t>
      </w:r>
      <w:r>
        <w:rPr>
          <w:i/>
          <w:iCs/>
        </w:rPr>
        <w:t>Sustaining Faith Traditions: Race, Ethnicity, and Religion among the Latino and Asian American Second Generation</w:t>
      </w:r>
      <w:r>
        <w:t xml:space="preserve"> (New York: NYU Press, 2012).</w:t>
      </w:r>
    </w:p>
  </w:footnote>
  <w:footnote w:id="4">
    <w:p w14:paraId="765BBF38" w14:textId="77777777" w:rsidR="00FA7026" w:rsidRDefault="00000000">
      <w:pPr>
        <w:pStyle w:val="FootnoteText"/>
      </w:pPr>
      <w:r>
        <w:rPr>
          <w:rStyle w:val="FootnoteReference"/>
        </w:rPr>
        <w:footnoteRef/>
      </w:r>
      <w:r>
        <w:t xml:space="preserve"> Eugene A. Nida, </w:t>
      </w:r>
      <w:r>
        <w:rPr>
          <w:i/>
          <w:iCs/>
        </w:rPr>
        <w:t>Toward a Science of Translating: With Special Reference to Principles and Procedures Involved in Bible Translating</w:t>
      </w:r>
      <w:r>
        <w:t xml:space="preserve"> (Leiden: E.J. Brill, 1964), 159–60.</w:t>
      </w:r>
    </w:p>
  </w:footnote>
  <w:footnote w:id="5">
    <w:p w14:paraId="38C3AB60" w14:textId="77777777" w:rsidR="00FA7026" w:rsidRDefault="00000000">
      <w:pPr>
        <w:pStyle w:val="FootnoteText"/>
      </w:pPr>
      <w:r>
        <w:rPr>
          <w:rStyle w:val="FootnoteReference"/>
        </w:rPr>
        <w:footnoteRef/>
      </w:r>
      <w:r>
        <w:t xml:space="preserve"> Ralph Ellison, “Richard Wright’s Blues,” in </w:t>
      </w:r>
      <w:r>
        <w:rPr>
          <w:i/>
          <w:iCs/>
        </w:rPr>
        <w:t>Shadow and Act</w:t>
      </w:r>
      <w:r>
        <w:t xml:space="preserve"> (New York: Random House, 1964), 78–79.</w:t>
      </w:r>
    </w:p>
  </w:footnote>
  <w:footnote w:id="6">
    <w:p w14:paraId="4592483C" w14:textId="77777777" w:rsidR="00FA7026" w:rsidRDefault="00000000">
      <w:pPr>
        <w:pStyle w:val="FootnoteText"/>
      </w:pPr>
      <w:r>
        <w:rPr>
          <w:rStyle w:val="FootnoteReference"/>
        </w:rPr>
        <w:footnoteRef/>
      </w:r>
      <w:r>
        <w:t xml:space="preserve"> Cornel West, “The Tragicomic in the Blues,” in </w:t>
      </w:r>
      <w:r>
        <w:rPr>
          <w:i/>
          <w:iCs/>
        </w:rPr>
        <w:t>Hope on a Tightrope: Words and Wisdom</w:t>
      </w:r>
      <w:r>
        <w:t xml:space="preserve"> (New York: Smiley Books, 2008).</w:t>
      </w:r>
    </w:p>
  </w:footnote>
  <w:footnote w:id="7">
    <w:p w14:paraId="17E9EEC8" w14:textId="77777777" w:rsidR="00FA7026" w:rsidRDefault="00000000">
      <w:pPr>
        <w:pStyle w:val="FootnoteText"/>
      </w:pPr>
      <w:r>
        <w:rPr>
          <w:rStyle w:val="FootnoteReference"/>
        </w:rPr>
        <w:footnoteRef/>
      </w:r>
      <w:r>
        <w:t xml:space="preserve"> Angela Y. Davis, </w:t>
      </w:r>
      <w:r>
        <w:rPr>
          <w:i/>
          <w:iCs/>
        </w:rPr>
        <w:t>Blues Legacies and Black Feminism: Gertrude “Ma” Rainey, Bessie Smith, and Billie Holiday</w:t>
      </w:r>
      <w:r>
        <w:t xml:space="preserve"> (New York: Vintage Books, 1999), 4.</w:t>
      </w:r>
    </w:p>
  </w:footnote>
  <w:footnote w:id="8">
    <w:p w14:paraId="047A1EFD" w14:textId="77777777" w:rsidR="00FA7026" w:rsidRDefault="00000000">
      <w:pPr>
        <w:pStyle w:val="FootnoteText"/>
      </w:pPr>
      <w:r>
        <w:rPr>
          <w:rStyle w:val="FootnoteReference"/>
        </w:rPr>
        <w:footnoteRef/>
      </w:r>
      <w:r>
        <w:t xml:space="preserve"> James H. Cone, </w:t>
      </w:r>
      <w:r>
        <w:rPr>
          <w:i/>
          <w:iCs/>
        </w:rPr>
        <w:t>The Cross and the Lynching Tree</w:t>
      </w:r>
      <w:r>
        <w:t xml:space="preserve"> (Maryknoll, NY: Orbis Books, 2011), xiv–xv.</w:t>
      </w:r>
    </w:p>
  </w:footnote>
  <w:footnote w:id="9">
    <w:p w14:paraId="5C038974" w14:textId="77777777" w:rsidR="00FA7026" w:rsidRDefault="00000000">
      <w:pPr>
        <w:pStyle w:val="FootnoteText"/>
      </w:pPr>
      <w:r>
        <w:rPr>
          <w:rStyle w:val="FootnoteReference"/>
        </w:rPr>
        <w:footnoteRef/>
      </w:r>
      <w:r>
        <w:t xml:space="preserve"> Cone, </w:t>
      </w:r>
      <w:r>
        <w:rPr>
          <w:i/>
          <w:iCs/>
        </w:rPr>
        <w:t>The Cross and the Lynching Tree</w:t>
      </w:r>
      <w:r>
        <w:t>, 2.</w:t>
      </w:r>
    </w:p>
  </w:footnote>
  <w:footnote w:id="10">
    <w:p w14:paraId="0EBD142A" w14:textId="77777777" w:rsidR="00FA7026" w:rsidRDefault="00000000">
      <w:pPr>
        <w:pStyle w:val="FootnoteText"/>
      </w:pPr>
      <w:r>
        <w:rPr>
          <w:rStyle w:val="FootnoteReference"/>
        </w:rPr>
        <w:footnoteRef/>
      </w:r>
      <w:r>
        <w:t xml:space="preserve"> James H. Cone, </w:t>
      </w:r>
      <w:r>
        <w:rPr>
          <w:i/>
          <w:iCs/>
        </w:rPr>
        <w:t>A Black Theology of Liberation</w:t>
      </w:r>
      <w:r>
        <w:t>, 40th anniversary ed. (Maryknoll, NY: Orbis Books, 2010), 66. Originally published 1970.</w:t>
      </w:r>
    </w:p>
  </w:footnote>
  <w:footnote w:id="11">
    <w:p w14:paraId="06BB4DC0" w14:textId="77777777" w:rsidR="00FA7026" w:rsidRDefault="00000000">
      <w:pPr>
        <w:pStyle w:val="FootnoteText"/>
      </w:pPr>
      <w:r>
        <w:rPr>
          <w:rStyle w:val="FootnoteReference"/>
        </w:rPr>
        <w:footnoteRef/>
      </w:r>
      <w:r>
        <w:t xml:space="preserve"> </w:t>
      </w:r>
      <w:r>
        <w:rPr>
          <w:i/>
          <w:iCs/>
        </w:rPr>
        <w:t>The Lotus Sutra</w:t>
      </w:r>
      <w:r>
        <w:t xml:space="preserve">, chap. 4, “Faith and Understanding.” See Gene Reeves, trans., </w:t>
      </w:r>
      <w:r>
        <w:rPr>
          <w:i/>
          <w:iCs/>
        </w:rPr>
        <w:t>The Lotus Sutra: A Contemporary Translation of a Buddhist Classic</w:t>
      </w:r>
      <w:r>
        <w:t xml:space="preserve"> (Boston: Wisdom Publications, 2008), 79–103.</w:t>
      </w:r>
    </w:p>
  </w:footnote>
  <w:footnote w:id="12">
    <w:p w14:paraId="5AA284F5" w14:textId="77777777" w:rsidR="00FA7026" w:rsidRDefault="00000000">
      <w:pPr>
        <w:pStyle w:val="FootnoteText"/>
      </w:pPr>
      <w:r>
        <w:rPr>
          <w:rStyle w:val="FootnoteReference"/>
        </w:rPr>
        <w:footnoteRef/>
      </w:r>
      <w:r>
        <w:t xml:space="preserve"> Reeves, </w:t>
      </w:r>
      <w:r>
        <w:rPr>
          <w:i/>
          <w:iCs/>
        </w:rPr>
        <w:t>The Lotus Sutra</w:t>
      </w:r>
      <w:r>
        <w:t>, 84.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78A0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DCAA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E81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4112130">
    <w:abstractNumId w:val="0"/>
  </w:num>
  <w:num w:numId="2" w16cid:durableId="796415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1318173">
    <w:abstractNumId w:val="1"/>
  </w:num>
  <w:num w:numId="4" w16cid:durableId="1894808264">
    <w:abstractNumId w:val="1"/>
  </w:num>
  <w:num w:numId="5" w16cid:durableId="56310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7026"/>
    <w:rsid w:val="008704F6"/>
    <w:rsid w:val="00CA2DDA"/>
    <w:rsid w:val="00DB7A3F"/>
    <w:rsid w:val="00FA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196D"/>
  <w15:docId w15:val="{1360A383-DD54-E942-93E9-C934CB59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6365</Words>
  <Characters>37874</Characters>
  <Application>Microsoft Office Word</Application>
  <DocSecurity>0</DocSecurity>
  <Lines>620</Lines>
  <Paragraphs>235</Paragraphs>
  <ScaleCrop>false</ScaleCrop>
  <Company/>
  <LinksUpToDate>false</LinksUpToDate>
  <CharactersWithSpaces>44004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2025-12-10T22:50:00Z</dcterms:created>
  <dcterms:modified xsi:type="dcterms:W3CDTF">2025-12-10T22:59:00Z</dcterms:modified>
</cp:coreProperties>
</file>