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272D" w14:textId="77777777" w:rsidR="00126552" w:rsidRDefault="005A6E69">
      <w:pPr>
        <w:pStyle w:val="Heading1"/>
      </w:pPr>
      <w:bookmarkStart w:id="0" w:name="X05ae160413a3e367b741aca88b29500df5f0996"/>
      <w:r>
        <w:t>The Dharma Sings the Blues: A Comprehensive Scholarly Analysis of Vernacular Buddhist Translation through the Lens of African-American Idiom</w:t>
      </w:r>
    </w:p>
    <w:p w14:paraId="0997A5BE" w14:textId="77777777" w:rsidR="00126552" w:rsidRDefault="005A6E69">
      <w:pPr>
        <w:pStyle w:val="FirstParagraph"/>
      </w:pPr>
      <w:r>
        <w:rPr>
          <w:b/>
          <w:bCs/>
        </w:rPr>
        <w:t>Word Count:</w:t>
      </w:r>
      <w:r>
        <w:t xml:space="preserve"> 5,400</w:t>
      </w:r>
    </w:p>
    <w:p w14:paraId="19BE2CF0" w14:textId="77777777" w:rsidR="00126552" w:rsidRDefault="00DD6079">
      <w:r>
        <w:rPr>
          <w:noProof/>
        </w:rPr>
      </w:r>
      <w:r w:rsidR="00DD6079">
        <w:rPr>
          <w:noProof/>
        </w:rPr>
        <w:pict w14:anchorId="6A8FAB2E">
          <v:rect id="_x0000_i1025" alt="" style="width:468pt;height:.05pt;mso-width-percent:0;mso-height-percent:0;mso-width-percent:0;mso-height-percent:0" o:hralign="center" o:hrstd="t" o:hr="t"/>
        </w:pict>
      </w:r>
    </w:p>
    <w:p w14:paraId="2FCEAE88" w14:textId="77777777" w:rsidR="00126552" w:rsidRDefault="005A6E69">
      <w:pPr>
        <w:pStyle w:val="Heading2"/>
      </w:pPr>
      <w:bookmarkStart w:id="1" w:name="abstract"/>
      <w:r>
        <w:t>Abstract</w:t>
      </w:r>
    </w:p>
    <w:p w14:paraId="270A6BDA" w14:textId="77777777" w:rsidR="00126552" w:rsidRDefault="005A6E69">
      <w:pPr>
        <w:pStyle w:val="FirstParagraph"/>
      </w:pPr>
      <w:r>
        <w:t xml:space="preserve">This article analyzes an innovative translation methodology: rendering the </w:t>
      </w:r>
      <w:r>
        <w:rPr>
          <w:i/>
          <w:iCs/>
        </w:rPr>
        <w:t>Lotus Sutra</w:t>
      </w:r>
      <w:r>
        <w:t xml:space="preserve"> from Kumārajīva’s Classical Chinese into African-American Blues vernacular. Drawing on translation theory (Nida’s dynamic equivalence, Venuti’s domestication/foreignization), Blues philosophy (Murray, Ellison, Baraka), and scholarship on African-American Buddhism (Willis, Johnson, hooks), the article argues that this vernacular translation represents a legitimate form of cultural transcreation grounded in the Mahayana concept of </w:t>
      </w:r>
      <w:r>
        <w:rPr>
          <w:i/>
          <w:iCs/>
        </w:rPr>
        <w:t>upāya</w:t>
      </w:r>
      <w:r>
        <w:t xml:space="preserve"> (skillful means). The analysis demonstrates how the Blues idi</w:t>
      </w:r>
      <w:r>
        <w:t xml:space="preserve">om functions as an epistemology of suffering that parallels Buddhist </w:t>
      </w:r>
      <w:r>
        <w:rPr>
          <w:i/>
          <w:iCs/>
        </w:rPr>
        <w:t>dukkha</w:t>
      </w:r>
      <w:r>
        <w:t>,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 “Street Dharma” movements, the article positions vernacular translation not as a dilution of the Dharma but as its aut</w:t>
      </w:r>
      <w:r>
        <w:t>hentic continuation in the American context. The “Blues Lotus Sutra” thus validates the African-American experience as a locus of theological and philosophical authority capable of illuminating the deepest truths of the Buddhist tradition.</w:t>
      </w:r>
    </w:p>
    <w:p w14:paraId="55D858DE" w14:textId="77777777" w:rsidR="00126552" w:rsidRDefault="005A6E69">
      <w:pPr>
        <w:pStyle w:val="BodyText"/>
      </w:pPr>
      <w:r>
        <w:rPr>
          <w:b/>
          <w:bCs/>
        </w:rPr>
        <w:t>Keywords:</w:t>
      </w:r>
      <w:r>
        <w:t xml:space="preserve"> Lotus Sutra, vernacular translation, African-American Buddhism, Blues epistemology, dynamic equivalence, skillful means (</w:t>
      </w:r>
      <w:r>
        <w:rPr>
          <w:i/>
          <w:iCs/>
        </w:rPr>
        <w:t>upāya</w:t>
      </w:r>
      <w:r>
        <w:t>), cultural transcreation, Kumārajīva</w:t>
      </w:r>
    </w:p>
    <w:p w14:paraId="67D63235" w14:textId="77777777" w:rsidR="00126552" w:rsidRDefault="00DD6079">
      <w:r>
        <w:rPr>
          <w:noProof/>
        </w:rPr>
      </w:r>
      <w:r w:rsidR="00DD6079">
        <w:rPr>
          <w:noProof/>
        </w:rPr>
        <w:pict w14:anchorId="32294967">
          <v:rect id="_x0000_i1026" alt="" style="width:468pt;height:.05pt;mso-width-percent:0;mso-height-percent:0;mso-width-percent:0;mso-height-percent:0" o:hralign="center" o:hrstd="t" o:hr="t"/>
        </w:pict>
      </w:r>
    </w:p>
    <w:p w14:paraId="1F511B3C" w14:textId="77777777" w:rsidR="00126552" w:rsidRDefault="005A6E69">
      <w:pPr>
        <w:pStyle w:val="Heading2"/>
      </w:pPr>
      <w:bookmarkStart w:id="2" w:name="Xedd4e5560c16ede67244fab036c03ff70398ccb"/>
      <w:bookmarkEnd w:id="1"/>
      <w:r>
        <w:t>1. Introduction: The Transmutation of the Dharma</w:t>
      </w:r>
    </w:p>
    <w:p w14:paraId="058E8991" w14:textId="77777777" w:rsidR="00126552" w:rsidRDefault="005A6E69">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 </w:t>
      </w:r>
      <w:r>
        <w:rPr>
          <w:i/>
          <w:iCs/>
        </w:rPr>
        <w:t>sakāya niruttiyā</w:t>
      </w:r>
      <w:r>
        <w:t xml:space="preserve">—the local dialect or vernacular of the listener (Norman 1983). This foundational injunction established a trajectory of linguistic adaptation that would see the teachings traverse the Silk Road, </w:t>
      </w:r>
      <w:r>
        <w:lastRenderedPageBreak/>
        <w:t>crossing the Himalayas into Tibet, and sailing across the seas to Southeast Asia, in each instance shedding its outer linguistic shell to inhabit a new cultural body.</w:t>
      </w:r>
    </w:p>
    <w:p w14:paraId="48403F11" w14:textId="77777777" w:rsidR="00126552" w:rsidRDefault="005A6E69">
      <w:pPr>
        <w:pStyle w:val="BodyText"/>
      </w:pPr>
      <w:r>
        <w:t>When Buddhism entered China in the first few centuries of the Common Era, it faced a crisis of intelligibility. The Indian worldview, with its emphasis on cyclic time (</w:t>
      </w:r>
      <w:r>
        <w:rPr>
          <w:i/>
          <w:iCs/>
        </w:rPr>
        <w:t>samsara</w:t>
      </w:r>
      <w:r>
        <w:t>), emptiness (</w:t>
      </w:r>
      <w:r>
        <w:rPr>
          <w:i/>
          <w:iCs/>
        </w:rPr>
        <w:t>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 </w:t>
      </w:r>
      <w:r>
        <w:rPr>
          <w:i/>
          <w:iCs/>
        </w:rPr>
        <w:t>yi</w:t>
      </w:r>
      <w:r>
        <w:t xml:space="preserve"> (meaning) over </w:t>
      </w:r>
      <w:r>
        <w:rPr>
          <w:i/>
          <w:iCs/>
        </w:rPr>
        <w:t>wen</w:t>
      </w:r>
      <w:r>
        <w:t xml:space="preserve"> (literal form), creating a hybrid “church language” that was neither purely Sanskritized Chinese nor street vernacular, but a new, elevated idiom</w:t>
      </w:r>
      <w:r>
        <w:t xml:space="preserve"> capable of carrying the weight of Mahayana metaphysics while resonating with the Chinese literary soul (Hureau 2010).</w:t>
      </w:r>
    </w:p>
    <w:p w14:paraId="63C03C46" w14:textId="77777777" w:rsidR="00126552" w:rsidRDefault="005A6E69">
      <w:pPr>
        <w:pStyle w:val="BodyText"/>
      </w:pPr>
      <w:r>
        <w:t>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 “vernacular translation” is emerging. This movement seeks to root the Dharma not in the academy, but in the soil of American cultural experience.</w:t>
      </w:r>
    </w:p>
    <w:p w14:paraId="60D5461C" w14:textId="77777777" w:rsidR="00126552" w:rsidRDefault="005A6E69">
      <w:pPr>
        <w:pStyle w:val="BodyText"/>
      </w:pPr>
      <w:r>
        <w:t xml:space="preserve">This report provides an exhaustive scholarly analysis of a specific, groundbreaking instantiation of this phenomenon: the translation of the </w:t>
      </w:r>
      <w:r>
        <w:rPr>
          <w:i/>
          <w:iCs/>
        </w:rPr>
        <w:t>Lotus Sutra</w:t>
      </w:r>
      <w:r>
        <w:t xml:space="preserve"> (Sanskrit: </w:t>
      </w:r>
      <w:r>
        <w:rPr>
          <w:i/>
          <w:iCs/>
        </w:rPr>
        <w:t>Saddharma Pu</w:t>
      </w:r>
      <w:r>
        <w:rPr>
          <w:i/>
          <w:iCs/>
        </w:rPr>
        <w:t>ṇḍ</w:t>
      </w:r>
      <w:r>
        <w:rPr>
          <w:i/>
          <w:iCs/>
        </w:rPr>
        <w:t>arīka Sūtra</w:t>
      </w:r>
      <w:r>
        <w:t xml:space="preserve">; Chinese: </w:t>
      </w:r>
      <w:r>
        <w:rPr>
          <w:rFonts w:hint="eastAsia"/>
        </w:rPr>
        <w:t>妙法蓮華經</w:t>
      </w:r>
      <w:r>
        <w:rPr>
          <w:rFonts w:hint="eastAsia"/>
        </w:rPr>
        <w:t>,</w:t>
      </w:r>
      <w:r>
        <w:t xml:space="preserve"> </w:t>
      </w:r>
      <w:r>
        <w:rPr>
          <w:i/>
          <w:iCs/>
        </w:rPr>
        <w:t>Miào fǎ Liánhuá Jīng</w:t>
      </w:r>
      <w:r>
        <w:t>) from Kumārajīva’s Classical Chinese into the African-American Blues vernacular. This “Blues Lotus Sutra” represents a sophisticated hermeneutical project that engages with the rich philosophical tradition of the Blues—an indigenous American epistemology of suffering, resilience, and transcendence—to render the Mahayana teachings intelligible to a contemporary audience ([Author] 2025).</w:t>
      </w:r>
    </w:p>
    <w:p w14:paraId="70EF8399" w14:textId="77777777" w:rsidR="00126552" w:rsidRDefault="005A6E69">
      <w:pPr>
        <w:pStyle w:val="BodyText"/>
      </w:pPr>
      <w:r>
        <w:t>By analyzing this work through the multiple lenses of translation studies, African-American religious history, Buddhist homiletics (</w:t>
      </w:r>
      <w:r>
        <w:rPr>
          <w:i/>
          <w:iCs/>
        </w:rPr>
        <w:t>upāya</w:t>
      </w:r>
      <w:r>
        <w:t>), and literary criticism, we argue that this vernacular translation acts as a form of “cultural transcreation.” It validates the “Blues impulse”—the refusal to look away from the painful details of existence—as a legitimate Dharma gate. Furthermore, it positions the African-American experience not merely as a subject of sociological inquiry, but as a locus of theological and philosophical authority capable of holding and illuminating the deepest truths of the Buddhist tradition.</w:t>
      </w:r>
    </w:p>
    <w:p w14:paraId="2F988636" w14:textId="77777777" w:rsidR="00126552" w:rsidRDefault="005A6E69">
      <w:pPr>
        <w:pStyle w:val="Heading2"/>
      </w:pPr>
      <w:bookmarkStart w:id="3" w:name="X8a8303d94ee95db43b74f1a85b6f93e9ff8d876"/>
      <w:bookmarkEnd w:id="2"/>
      <w:r>
        <w:t>2. Theoretical Frameworks of Vernacular Translation</w:t>
      </w:r>
    </w:p>
    <w:p w14:paraId="0961823D" w14:textId="77777777" w:rsidR="00126552" w:rsidRDefault="005A6E69">
      <w:pPr>
        <w:pStyle w:val="FirstParagraph"/>
      </w:pPr>
      <w:r>
        <w:t>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 “sacred” source language and the “profane” target vernacular.</w:t>
      </w:r>
    </w:p>
    <w:p w14:paraId="7CCE0F9C" w14:textId="77777777" w:rsidR="00126552" w:rsidRDefault="005A6E69">
      <w:pPr>
        <w:pStyle w:val="Heading3"/>
      </w:pPr>
      <w:bookmarkStart w:id="4" w:name="X9fadd1d83433570a5b42299686299e40451698d"/>
      <w:r>
        <w:lastRenderedPageBreak/>
        <w:t>2.1 The Legacy of Kumārajīva: Meaning (</w:t>
      </w:r>
      <w:r>
        <w:rPr>
          <w:i/>
          <w:iCs/>
        </w:rPr>
        <w:t>Yi</w:t>
      </w:r>
      <w:r>
        <w:t>) over Form (</w:t>
      </w:r>
      <w:r>
        <w:rPr>
          <w:i/>
          <w:iCs/>
        </w:rPr>
        <w:t>Wen</w:t>
      </w:r>
      <w:r>
        <w:t>)</w:t>
      </w:r>
    </w:p>
    <w:p w14:paraId="0839CF62" w14:textId="77777777" w:rsidR="00126552" w:rsidRDefault="005A6E69">
      <w:pPr>
        <w:pStyle w:val="FirstParagraph"/>
      </w:pPr>
      <w:r>
        <w:t>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w:t>
      </w:r>
      <w:r>
        <w:t>ṣ</w:t>
      </w:r>
      <w:r>
        <w:t xml:space="preserve">a utilized a method known as </w:t>
      </w:r>
      <w:r>
        <w:rPr>
          <w:i/>
          <w:iCs/>
        </w:rPr>
        <w:t>geyi</w:t>
      </w:r>
      <w:r>
        <w:t xml:space="preserve"> (matching concepts), which often resulted in awkward, impenetrable texts that adhered too strictly to Sanskrit syntax, rendering them alien to Chinese readers.</w:t>
      </w:r>
    </w:p>
    <w:p w14:paraId="2CD591E2" w14:textId="77777777" w:rsidR="00126552" w:rsidRDefault="005A6E69">
      <w:pPr>
        <w:pStyle w:val="BodyText"/>
      </w:pPr>
      <w:r>
        <w:t xml:space="preserve">Kumārajīva argued that a translation must possess literary merit to be effective. He famously compared literal translation to “chewing rice for another person”—it loses its flavor and becomes disgusting. Instead, he championed a method that prioritized the </w:t>
      </w:r>
      <w:r>
        <w:rPr>
          <w:i/>
          <w:iCs/>
        </w:rPr>
        <w:t>yi</w:t>
      </w:r>
      <w:r>
        <w:t xml:space="preserve"> (meaning/intent) of the sutra over the </w:t>
      </w:r>
      <w:r>
        <w:rPr>
          <w:i/>
          <w:iCs/>
        </w:rPr>
        <w:t>wen</w:t>
      </w:r>
      <w:r>
        <w:t xml:space="preserve"> (structural form) (Hureau 2010). He condensed repetitive passages, smoothed out the grammar, and employed a rhythmic, chantable prose style that became the standard for East Asian Buddhism.</w:t>
      </w:r>
    </w:p>
    <w:p w14:paraId="184A562F" w14:textId="77777777" w:rsidR="00126552" w:rsidRDefault="005A6E69">
      <w:pPr>
        <w:pStyle w:val="BodyText"/>
      </w:pPr>
      <w:r>
        <w:t xml:space="preserve">The translator of the Blues Lotus Sutra operates as a “Neo-Kumārajīva.” Just as Kumārajīva adapted Indian modes of expression to the Chinese literary palette (often borrowing Daoist-inflected terms to make concepts land), the Blues translator adapts the Chinese text to the American vernacular palette. When the Blues text translates </w:t>
      </w:r>
      <w:r>
        <w:rPr>
          <w:i/>
          <w:iCs/>
        </w:rPr>
        <w:t>nirvā</w:t>
      </w:r>
      <w:r>
        <w:rPr>
          <w:i/>
          <w:iCs/>
        </w:rPr>
        <w:t>ṇ</w:t>
      </w:r>
      <w:r>
        <w:rPr>
          <w:i/>
          <w:iCs/>
        </w:rPr>
        <w:t>a</w:t>
      </w:r>
      <w:r>
        <w:t xml:space="preserve"> not as “extinction” but as “that final peace beyond peace,” or describes </w:t>
      </w:r>
      <w:r>
        <w:rPr>
          <w:i/>
          <w:iCs/>
        </w:rPr>
        <w:t>bodhisattvas</w:t>
      </w:r>
      <w:r>
        <w:t xml:space="preserve"> as those who “don’t know how to quit,” it is engaging in the same hermeneutical activity as Kumārajīva: prioritizing the </w:t>
      </w:r>
      <w:r>
        <w:rPr>
          <w:i/>
          <w:iCs/>
        </w:rPr>
        <w:t>transmission of the concept’s essence</w:t>
      </w:r>
      <w:r>
        <w:t xml:space="preserve"> and emotional resonance over the technical definition of the term ([Author] 2025).</w:t>
      </w:r>
    </w:p>
    <w:p w14:paraId="76D8FCB2" w14:textId="77777777" w:rsidR="00126552" w:rsidRDefault="005A6E69">
      <w:pPr>
        <w:pStyle w:val="BodyText"/>
      </w:pPr>
      <w:r>
        <w:t xml:space="preserve">This approach aligns with the classical Chinese concept of </w:t>
      </w:r>
      <w:r>
        <w:rPr>
          <w:i/>
          <w:iCs/>
        </w:rPr>
        <w:t>zhi</w:t>
      </w:r>
      <w:r>
        <w:t xml:space="preserve"> (substance) versus </w:t>
      </w:r>
      <w:r>
        <w:rPr>
          <w:i/>
          <w:iCs/>
        </w:rPr>
        <w:t>wen</w:t>
      </w:r>
      <w:r>
        <w:t xml:space="preserve"> (ornamentation). While critics might accuse vernacular translations of lacking the “ornamentation” of high liturgical language, proponents argue that they recover the </w:t>
      </w:r>
      <w:r>
        <w:rPr>
          <w:i/>
          <w:iCs/>
        </w:rPr>
        <w:t>zhi</w:t>
      </w:r>
      <w:r>
        <w:t>—the raw, unhewn truth—that excessive refinement often obscures (Hua 2018).</w:t>
      </w:r>
    </w:p>
    <w:p w14:paraId="7D633EA2" w14:textId="77777777" w:rsidR="00126552" w:rsidRDefault="005A6E69">
      <w:pPr>
        <w:pStyle w:val="Heading3"/>
      </w:pPr>
      <w:bookmarkStart w:id="5" w:name="X1b3db6703d0799738861f3ebca5fbe1f933b97e"/>
      <w:bookmarkEnd w:id="4"/>
      <w:r>
        <w:t>2.2 Eugene Nida and the Theory of Dynamic Equivalence</w:t>
      </w:r>
    </w:p>
    <w:p w14:paraId="6366C45C" w14:textId="77777777" w:rsidR="00126552" w:rsidRDefault="005A6E69">
      <w:pPr>
        <w:pStyle w:val="FirstParagraph"/>
      </w:pPr>
      <w:r>
        <w:t>The theoretical justification for such a radical linguistic shift is best articulated by the translation scholar Eugene Nida. Working primarily within the context of Bible translation, Nida introduced the distinction between “formal equivalence” and “dynamic equivalence” (later termed functional equivalence).</w:t>
      </w:r>
    </w:p>
    <w:p w14:paraId="7887F2D5" w14:textId="77777777" w:rsidR="00126552" w:rsidRDefault="005A6E69">
      <w:pPr>
        <w:pStyle w:val="BodyText"/>
      </w:pPr>
      <w:r>
        <w:rPr>
          <w:b/>
          <w:bCs/>
        </w:rPr>
        <w:t>Formal Equivalence</w:t>
      </w:r>
      <w:r>
        <w:t xml:space="preserve"> 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 (Nida 1964).</w:t>
      </w:r>
    </w:p>
    <w:p w14:paraId="127BC76C" w14:textId="77777777" w:rsidR="00126552" w:rsidRDefault="005A6E69">
      <w:pPr>
        <w:pStyle w:val="BodyText"/>
      </w:pPr>
      <w:r>
        <w:rPr>
          <w:b/>
          <w:bCs/>
        </w:rPr>
        <w:t>Dynamic Equivalence</w:t>
      </w:r>
      <w:r>
        <w:t xml:space="preserve"> is based on the “principle of equivalent effect.” It aims to produce in the target audience a response that is essentially the same as that of the original audience to the source text. Nida argued that “God’s word” must be intelligible; it must speak to the reader in their natural, emotive language (Nida and Taber 1969).</w:t>
      </w:r>
    </w:p>
    <w:p w14:paraId="319E3F3F" w14:textId="77777777" w:rsidR="00126552" w:rsidRDefault="005A6E69">
      <w:pPr>
        <w:pStyle w:val="BodyText"/>
      </w:pPr>
      <w:r>
        <w:lastRenderedPageBreak/>
        <w:t xml:space="preserve">If we apply this to the </w:t>
      </w:r>
      <w:r>
        <w:rPr>
          <w:i/>
          <w:iCs/>
        </w:rPr>
        <w:t>Lotus Sutra</w:t>
      </w:r>
      <w:r>
        <w:t xml:space="preserve">, we must ask: What was the intended effect of the original text? The </w:t>
      </w:r>
      <w:r>
        <w:rPr>
          <w:i/>
          <w:iCs/>
        </w:rPr>
        <w:t>Lotus Sutra</w:t>
      </w:r>
      <w:r>
        <w:t xml:space="preserve"> is a text of high drama, cosmic vision, and emotional reassurance. It was designed to inspire awe, to comfort the fearful, and to promise universal liberation. A dry, academic translation into standard English might preserve the </w:t>
      </w:r>
      <w:r>
        <w:rPr>
          <w:i/>
          <w:iCs/>
        </w:rPr>
        <w:t>concepts</w:t>
      </w:r>
      <w:r>
        <w:t xml:space="preserve"> but fail to evoke the </w:t>
      </w:r>
      <w:r>
        <w:rPr>
          <w:i/>
          <w:iCs/>
        </w:rPr>
        <w:t>feeling</w:t>
      </w:r>
      <w:r>
        <w:t xml:space="preserve"> of liberation.</w:t>
      </w:r>
    </w:p>
    <w:p w14:paraId="1EED1287" w14:textId="77777777" w:rsidR="00126552" w:rsidRDefault="005A6E69">
      <w:pPr>
        <w:pStyle w:val="BodyText"/>
      </w:pPr>
      <w:r>
        <w:t xml:space="preserve">The Blues translation seeks dynamic equivalence. The Blues is a language of visceral emotion, of “fingering the jagged grain” of brutal experience. By rendering the sutra in this idiom, the translator aims to bypass the intellect and strike the heart—to make the reader </w:t>
      </w:r>
      <w:r>
        <w:rPr>
          <w:i/>
          <w:iCs/>
        </w:rPr>
        <w:t>feel</w:t>
      </w:r>
      <w:r>
        <w:t xml:space="preserve"> the weight of </w:t>
      </w:r>
      <w:r>
        <w:rPr>
          <w:i/>
          <w:iCs/>
        </w:rPr>
        <w:t>dukkha</w:t>
      </w:r>
      <w:r>
        <w:t xml:space="preserve"> (suffering) and the relief of </w:t>
      </w:r>
      <w:r>
        <w:rPr>
          <w:i/>
          <w:iCs/>
        </w:rPr>
        <w:t>nirvā</w:t>
      </w:r>
      <w:r>
        <w:rPr>
          <w:i/>
          <w:iCs/>
        </w:rPr>
        <w:t>ṇ</w:t>
      </w:r>
      <w:r>
        <w:rPr>
          <w:i/>
          <w:iCs/>
        </w:rPr>
        <w:t>a</w:t>
      </w:r>
      <w:r>
        <w:t xml:space="preserve"> just as an audience member feels the release in a Blues performance. When the text says, “Joy rose up in them… like a bird that’s been caged all its life and somebody finally opens the door” ([Author] 2025), it uses culturally resonant imagery to replicate the original text’s soteriological impact.</w:t>
      </w:r>
    </w:p>
    <w:p w14:paraId="07EC9931" w14:textId="77777777" w:rsidR="00126552" w:rsidRDefault="005A6E69">
      <w:pPr>
        <w:pStyle w:val="Heading3"/>
      </w:pPr>
      <w:bookmarkStart w:id="6" w:name="venutis-domestication-and-foreignization"/>
      <w:bookmarkEnd w:id="5"/>
      <w:r>
        <w:t>2.3 Venuti’s Domestication and Foreignization</w:t>
      </w:r>
    </w:p>
    <w:p w14:paraId="1ABD9F9B" w14:textId="77777777" w:rsidR="00126552" w:rsidRDefault="005A6E69">
      <w:pPr>
        <w:pStyle w:val="FirstParagraph"/>
      </w:pPr>
      <w:r>
        <w:t>Translation theorist Lawrence Venuti offers a critical counterpoint with his concepts of “domestication” and “foreignization.” Venuti generally critiques “domestication”—the strategy of making a text read so fluently that it erases its foreign origins, conforming entirely to the target culture’s values (Venuti 1995). He advocates for “foreignization,” which retains linguistic and cultural differences to challenge the reader and prevent ethnocentric assimilation.</w:t>
      </w:r>
    </w:p>
    <w:p w14:paraId="77A0B6A0" w14:textId="77777777" w:rsidR="00126552" w:rsidRDefault="005A6E69">
      <w:pPr>
        <w:pStyle w:val="BodyText"/>
      </w:pPr>
      <w:r>
        <w:t>The Blues Lotus Sutra employs a fascinating, purposeful hybridity of these two strategies:</w:t>
      </w:r>
    </w:p>
    <w:p w14:paraId="6B8B169A" w14:textId="77777777" w:rsidR="00126552" w:rsidRDefault="005A6E69">
      <w:pPr>
        <w:pStyle w:val="BodyText"/>
      </w:pPr>
      <w:r>
        <w:rPr>
          <w:b/>
          <w:bCs/>
        </w:rPr>
        <w:t>Radical Domestication:</w:t>
      </w:r>
      <w:r>
        <w:t xml:space="preserve"> The syntax, grammar, and idiom are aggressively domesticated into African-American Vernacular English (AAVE). Phrases like “ain’t it always one time when truth comes calling” or “no sir, that ain’t even half of it” anchor the text firmly in the American South ([Author] 2025). This makes the text feel “homegrown,” intimate, and accessible, removing the barrier of “Oriental mystique.”</w:t>
      </w:r>
    </w:p>
    <w:p w14:paraId="51EF0329" w14:textId="77777777" w:rsidR="00126552" w:rsidRDefault="005A6E69">
      <w:pPr>
        <w:pStyle w:val="BodyText"/>
      </w:pPr>
      <w:r>
        <w:rPr>
          <w:b/>
          <w:bCs/>
        </w:rPr>
        <w:t>Strategic Foreignization:</w:t>
      </w:r>
      <w:r>
        <w:t xml:space="preserve"> However, the text explicitly </w:t>
      </w:r>
      <w:r>
        <w:rPr>
          <w:i/>
          <w:iCs/>
        </w:rPr>
        <w:t>refuses</w:t>
      </w:r>
      <w:r>
        <w:t xml:space="preserve"> to domesticate the proper names and technical titles. It preserves the Sanskrit diacritics with rigorous precision: </w:t>
      </w:r>
      <w:r>
        <w:rPr>
          <w:i/>
          <w:iCs/>
        </w:rPr>
        <w:t>Śāriputra</w:t>
      </w:r>
      <w:r>
        <w:t xml:space="preserve">, </w:t>
      </w:r>
      <w:r>
        <w:rPr>
          <w:i/>
          <w:iCs/>
        </w:rPr>
        <w:t>Mañjuśrī</w:t>
      </w:r>
      <w:r>
        <w:t xml:space="preserve">, </w:t>
      </w:r>
      <w:r>
        <w:rPr>
          <w:i/>
          <w:iCs/>
        </w:rPr>
        <w:t>Avalokiteśvara</w:t>
      </w:r>
      <w:r>
        <w:t xml:space="preserve">, </w:t>
      </w:r>
      <w:r>
        <w:rPr>
          <w:i/>
          <w:iCs/>
        </w:rPr>
        <w:t>Tathāgata</w:t>
      </w:r>
      <w:r>
        <w:t xml:space="preserve">, </w:t>
      </w:r>
      <w:r>
        <w:rPr>
          <w:i/>
          <w:iCs/>
        </w:rPr>
        <w:t>Anuttara-samyak-sambodhi</w:t>
      </w:r>
      <w:r>
        <w:t xml:space="preserve"> ([Author] 2025). It does not translate </w:t>
      </w:r>
      <w:r>
        <w:rPr>
          <w:i/>
          <w:iCs/>
        </w:rPr>
        <w:t>Avalokiteśvara</w:t>
      </w:r>
      <w:r>
        <w:t xml:space="preserve"> as “The Lord Who Looks Down” or “He Who Hears the Cries of the World” (common domesticated renderings); it keeps the Sanskrit name while describing his function in Blues terms.</w:t>
      </w:r>
    </w:p>
    <w:p w14:paraId="5959276A" w14:textId="77777777" w:rsidR="00126552" w:rsidRDefault="005A6E69">
      <w:pPr>
        <w:pStyle w:val="BodyText"/>
      </w:pPr>
      <w:r>
        <w:t>This hybrid strategy serves a crucial function. The high Sanskrit terminology acts as an anchor of sacred authority, preventing the vernacular from sounding merely “slangy” or reductive. It elevates the Blues idiom to a liturgical language capable of holding ancient Sanskrit titles. It asserts a cosmopolitanism within the vernacular: “Śāriputra” can be at home in a Blues song; the Blues is dignified enough to host the “Tathāgata.” This resists the colonial impulse to completely erase the “Other,” while simu</w:t>
      </w:r>
      <w:r>
        <w:t>ltaneously inviting the “Other” into the intimate sphere of the “Self.”</w:t>
      </w:r>
    </w:p>
    <w:p w14:paraId="4C4A0073" w14:textId="77777777" w:rsidR="00126552" w:rsidRDefault="005A6E69">
      <w:pPr>
        <w:pStyle w:val="Heading2"/>
      </w:pPr>
      <w:bookmarkStart w:id="7" w:name="X7a3dd89e4e0de622fbac932408120a741100b22"/>
      <w:bookmarkEnd w:id="6"/>
      <w:bookmarkEnd w:id="3"/>
      <w:r>
        <w:lastRenderedPageBreak/>
        <w:t>3. The Epistemology of the Blues: A Philosophical Basis</w:t>
      </w:r>
    </w:p>
    <w:p w14:paraId="4E0007AE" w14:textId="77777777" w:rsidR="00126552" w:rsidRDefault="005A6E69">
      <w:pPr>
        <w:pStyle w:val="FirstParagraph"/>
      </w:pPr>
      <w:r>
        <w:t>To understand why the Blues is a suitable vehicle for the Dharma, one must recognize that the Blues is not merely a musical genre; it is a philosophical system, an epistemology (way of knowing), and a technology for survival. Scholars of African-American studies have long argued that the Blues constitutes a coherent worldview that parallels existentialism and, notably, Buddhism.</w:t>
      </w:r>
    </w:p>
    <w:p w14:paraId="7233781F" w14:textId="77777777" w:rsidR="00126552" w:rsidRDefault="005A6E69">
      <w:pPr>
        <w:pStyle w:val="Heading3"/>
      </w:pPr>
      <w:bookmarkStart w:id="8" w:name="the-blues-impulse-vs.-dukkha"/>
      <w:r>
        <w:t>3.1 The Blues Impulse vs. Dukkha</w:t>
      </w:r>
    </w:p>
    <w:p w14:paraId="3B943C44" w14:textId="77777777" w:rsidR="00126552" w:rsidRDefault="005A6E69">
      <w:pPr>
        <w:pStyle w:val="FirstParagraph"/>
      </w:pPr>
      <w:r>
        <w:t xml:space="preserve">Albert Murray, in his seminal work </w:t>
      </w:r>
      <w:r>
        <w:rPr>
          <w:i/>
          <w:iCs/>
        </w:rPr>
        <w:t>Stomping the Blues</w:t>
      </w:r>
      <w:r>
        <w:t xml:space="preserve">, draws a crucial distinction between “having the blues” and “playing the blues.” “Having the blues” is a state of entropy, depression, and suffering—what Buddhism calls </w:t>
      </w:r>
      <w:r>
        <w:rPr>
          <w:i/>
          <w:iCs/>
        </w:rPr>
        <w:t>dukkha</w:t>
      </w:r>
      <w:r>
        <w:t>. It is the condition of being crushed by the weight of existence. “Playing the blues,” however, is an active, artistic confrontation with that suffering. It is a ritual of purification and resilience (Murray 1976).</w:t>
      </w:r>
    </w:p>
    <w:p w14:paraId="40D8D20C" w14:textId="77777777" w:rsidR="00126552" w:rsidRDefault="005A6E69">
      <w:pPr>
        <w:pStyle w:val="BodyText"/>
      </w:pPr>
      <w:r>
        <w:t xml:space="preserve">Murray writes that the Blues is an “equipment for living.” It acknowledges that life is fundamentally tragic, fraught with loss, betrayal, and impermanence. Yet, the Blues response is not nihilism or despair; it is a rhythmic affirmation of life </w:t>
      </w:r>
      <w:r>
        <w:rPr>
          <w:i/>
          <w:iCs/>
        </w:rPr>
        <w:t>in spite of</w:t>
      </w:r>
      <w:r>
        <w:t xml:space="preserve"> the suffering. This mirrors the Buddhist path perfectly. The First Noble Truth is the acknowledgement that life is </w:t>
      </w:r>
      <w:r>
        <w:rPr>
          <w:i/>
          <w:iCs/>
        </w:rPr>
        <w:t>dukkha</w:t>
      </w:r>
      <w:r>
        <w:t xml:space="preserve"> (having the blues). The Fourth Noble Truth (the Eightfold Path) is the method of “playing the blues”—a disciplined practice (shila, samadhi, panna) that transforms the raw material of suffering into liberation.</w:t>
      </w:r>
    </w:p>
    <w:p w14:paraId="58FEEBED" w14:textId="77777777" w:rsidR="00126552" w:rsidRDefault="005A6E69">
      <w:pPr>
        <w:pStyle w:val="BodyText"/>
      </w:pPr>
      <w:r>
        <w:t>In the Blues Lotus Sutra, this parallel is explicit. The text describes the monks as those who have “dried up all the leaking wounds of craving” and “burned out every last bit of that fever we call desire” ([Author] 2025). This visceral language connects the “fever” of samsaric craving with the “lovesick” fever often described in Blues lyrics. The solution offered—the Dharma—is the “good medicine” (a trope found in both the Sutra and Blues songs about “Doctor Jesus” or “Doctor Feelgood”).</w:t>
      </w:r>
    </w:p>
    <w:p w14:paraId="46ADCD92" w14:textId="77777777" w:rsidR="00126552" w:rsidRDefault="005A6E69">
      <w:pPr>
        <w:pStyle w:val="Heading3"/>
      </w:pPr>
      <w:bookmarkStart w:id="9" w:name="ralph-ellison-and-the-jagged-grain"/>
      <w:bookmarkEnd w:id="8"/>
      <w:r>
        <w:t>3.2 Ralph Ellison and the “Jagged Grain”</w:t>
      </w:r>
    </w:p>
    <w:p w14:paraId="14B43827" w14:textId="77777777" w:rsidR="00126552" w:rsidRDefault="005A6E69">
      <w:pPr>
        <w:pStyle w:val="FirstParagraph"/>
      </w:pPr>
      <w:r>
        <w:t>Ralph Ellison defined the Blues as “an impulse to keep the painful details and episodes of a brutal experience alive in one’s aching consciousness, to finger its jagged grain, and to transcend it, not by the consolation of philosophy but by squeezing from it a near-tragic, near-comic lyricism” (Ellison 1964).</w:t>
      </w:r>
    </w:p>
    <w:p w14:paraId="60DAE909" w14:textId="77777777" w:rsidR="00126552" w:rsidRDefault="005A6E69">
      <w:pPr>
        <w:pStyle w:val="BodyText"/>
      </w:pPr>
      <w:r>
        <w:t xml:space="preserve">This description of “fingering the jagged grain” is a precise phenomenological description of Buddhist </w:t>
      </w:r>
      <w:r>
        <w:rPr>
          <w:i/>
          <w:iCs/>
        </w:rPr>
        <w:t>vipassanā</w:t>
      </w:r>
      <w:r>
        <w:t xml:space="preserve"> (insight) meditation. In meditation, one does not turn away from pain or impermanence; one observes it closely, investigating its texture (mark of existence) until its hold on the self is released.</w:t>
      </w:r>
    </w:p>
    <w:p w14:paraId="492AF94D" w14:textId="77777777" w:rsidR="00126552" w:rsidRDefault="005A6E69">
      <w:pPr>
        <w:pStyle w:val="BodyText"/>
      </w:pPr>
      <w:r>
        <w:t xml:space="preserve">The Blues translation of the </w:t>
      </w:r>
      <w:r>
        <w:rPr>
          <w:i/>
          <w:iCs/>
        </w:rPr>
        <w:t>Lotus Sutra</w:t>
      </w:r>
      <w:r>
        <w:t xml:space="preserve"> utilizes this “tragic-comic lyricism.” When the text describes the “burning house” of the triple world (Chapter 3), it does not use abstract philosophical terms. It uses the language of immediate danger and sensory overload: “WHOOSH!—fire breaks out… pillars rotting at the roots… beams and rafters leaning </w:t>
      </w:r>
      <w:r>
        <w:lastRenderedPageBreak/>
        <w:t xml:space="preserve">sideways” ([Author] 2025). It forces the reader to “finger the jagged grain” of the samsaric crisis. Yet, the tone remains rhythmic and resilient, providing the “comic” (joyful) release of the </w:t>
      </w:r>
      <w:r>
        <w:t>solution: the “great white ox cart” of the One Vehicle.</w:t>
      </w:r>
    </w:p>
    <w:p w14:paraId="10AAE28E" w14:textId="77777777" w:rsidR="00126552" w:rsidRDefault="005A6E69">
      <w:pPr>
        <w:pStyle w:val="Heading3"/>
      </w:pPr>
      <w:bookmarkStart w:id="10" w:name="call-and-response-as-sangha-dynamics"/>
      <w:bookmarkEnd w:id="9"/>
      <w:r>
        <w:t>3.3 Call-and-Response as Sangha Dynamics</w:t>
      </w:r>
    </w:p>
    <w:p w14:paraId="06C2246D" w14:textId="77777777" w:rsidR="00126552" w:rsidRDefault="005A6E69">
      <w:pPr>
        <w:pStyle w:val="FirstParagraph"/>
      </w:pPr>
      <w:r>
        <w:t>A defining feature of African-American music and religious service is “call-and-response.” This is not just an aesthetic choice; it is an ecclesiology—a way of structuring community. The leader calls, and the community responds, creating a feedback loop of energy that dissolves the barrier between performer and audience (Steinfeld 2016).</w:t>
      </w:r>
    </w:p>
    <w:p w14:paraId="60FC1DF9" w14:textId="77777777" w:rsidR="00126552" w:rsidRDefault="005A6E69">
      <w:pPr>
        <w:pStyle w:val="BodyText"/>
      </w:pPr>
      <w:r>
        <w:t xml:space="preserve">The </w:t>
      </w:r>
      <w:r>
        <w:rPr>
          <w:i/>
          <w:iCs/>
        </w:rPr>
        <w:t>Lotus Sutra</w:t>
      </w:r>
      <w:r>
        <w:t xml:space="preserve"> 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 “And let me tell you, these verses had rhythm.” The translation uses phatic markers like “Listen now,” “You understand?”, and “That’s the truth” to maintain the connection between the speaker (the Buddh</w:t>
      </w:r>
      <w:r>
        <w:t>a) and the listener (the reader/Sangha) ([Author] 2025).</w:t>
      </w:r>
    </w:p>
    <w:p w14:paraId="4316B206" w14:textId="77777777" w:rsidR="00126552" w:rsidRDefault="005A6E69">
      <w:pPr>
        <w:pStyle w:val="BodyText"/>
      </w:pPr>
      <w:r>
        <w:t xml:space="preserve">This transforms the reading experience from a passive reception of doctrine into an active participation in the assembly. The reader is invited to shout “Amen” (or “That’s the truth”) along with the text, integrating them into the </w:t>
      </w:r>
      <w:r>
        <w:rPr>
          <w:i/>
          <w:iCs/>
        </w:rPr>
        <w:t>Sangha</w:t>
      </w:r>
      <w:r>
        <w:t xml:space="preserve"> dynamics of Vulture Peak.</w:t>
      </w:r>
    </w:p>
    <w:p w14:paraId="58B85E7B" w14:textId="77777777" w:rsidR="00126552" w:rsidRDefault="005A6E69">
      <w:pPr>
        <w:pStyle w:val="Heading3"/>
      </w:pPr>
      <w:bookmarkStart w:id="11" w:name="amiri-baraka-and-the-blues-people"/>
      <w:bookmarkEnd w:id="10"/>
      <w:r>
        <w:t>3.4 Amiri Baraka and the “Blues People”</w:t>
      </w:r>
    </w:p>
    <w:p w14:paraId="340D6768" w14:textId="77777777" w:rsidR="00126552" w:rsidRDefault="005A6E69">
      <w:pPr>
        <w:pStyle w:val="FirstParagraph"/>
      </w:pPr>
      <w:r>
        <w:t xml:space="preserve">Amiri Baraka (LeRoi Jones), in his foundational text </w:t>
      </w:r>
      <w:r>
        <w:rPr>
          <w:i/>
          <w:iCs/>
        </w:rPr>
        <w:t>Blues People</w:t>
      </w:r>
      <w:r>
        <w:t>, argues that the evolution of Black music is the evolution of Black consciousness in America. He posits that the Blues is the most authentic expression of the African-American experience because it was created by the “Blues people”—the working class, the marginalized—rather than the assimilationist middle class (Baraka 1963).</w:t>
      </w:r>
    </w:p>
    <w:p w14:paraId="0144C8A4" w14:textId="77777777" w:rsidR="00126552" w:rsidRDefault="005A6E69">
      <w:pPr>
        <w:pStyle w:val="BodyText"/>
      </w:pPr>
      <w:r>
        <w:t xml:space="preserve">Translating the </w:t>
      </w:r>
      <w:r>
        <w:rPr>
          <w:i/>
          <w:iCs/>
        </w:rPr>
        <w:t>Lotus Sutra</w:t>
      </w:r>
      <w:r>
        <w:t xml:space="preserve"> into the idiom of the “Blues people” is a political act. It asserts that the highest wisdom of the East belongs to the marginalized of the West. It bypasses the “white converter” Buddhism of the Beat Generation or the academic elite and speaks directly to the experience of struggle. It validates the “Blues people” as possessing the spiritual capacity for </w:t>
      </w:r>
      <w:r>
        <w:rPr>
          <w:i/>
          <w:iCs/>
        </w:rPr>
        <w:t>Anuttara-samyak-sambodhi</w:t>
      </w:r>
      <w:r>
        <w:t xml:space="preserve"> (Supreme Perfect Enlightenment).</w:t>
      </w:r>
    </w:p>
    <w:p w14:paraId="46D1F679" w14:textId="77777777" w:rsidR="00126552" w:rsidRDefault="005A6E69">
      <w:pPr>
        <w:pStyle w:val="Heading2"/>
      </w:pPr>
      <w:bookmarkStart w:id="12" w:name="textual-analysis-the-blues-lotus-sutra"/>
      <w:bookmarkEnd w:id="11"/>
      <w:bookmarkEnd w:id="7"/>
      <w:r>
        <w:t>4. Textual Analysis: The Blues Lotus Sutra</w:t>
      </w:r>
    </w:p>
    <w:p w14:paraId="7FE950F4" w14:textId="77777777" w:rsidR="00126552" w:rsidRDefault="005A6E69">
      <w:pPr>
        <w:pStyle w:val="FirstParagraph"/>
      </w:pPr>
      <w:r>
        <w:t>A close reading of the provided text reveals specific translation strategies that bridge Classical Chinese concepts with Blues imagery. This section analyzes key chapters to demonstrate the hermeneutical depth of the work.</w:t>
      </w:r>
    </w:p>
    <w:p w14:paraId="34D39382" w14:textId="77777777" w:rsidR="00126552" w:rsidRDefault="005A6E69">
      <w:pPr>
        <w:pStyle w:val="Heading3"/>
      </w:pPr>
      <w:bookmarkStart w:id="13" w:name="Xf8a6c08441c9b898c6d3e09e82c4207e90ee858"/>
      <w:r>
        <w:t>4.1 Chapter 1: The Gathering – “Brothers Who’d Made It Through”</w:t>
      </w:r>
    </w:p>
    <w:p w14:paraId="33CEA73D" w14:textId="77777777" w:rsidR="00126552" w:rsidRDefault="005A6E69">
      <w:pPr>
        <w:pStyle w:val="FirstParagraph"/>
      </w:pPr>
      <w:r>
        <w:rPr>
          <w:b/>
          <w:bCs/>
        </w:rPr>
        <w:t>Context:</w:t>
      </w:r>
      <w:r>
        <w:t xml:space="preserve"> The sutra opens with the standard assembly of 12,000 Arhats.</w:t>
      </w:r>
    </w:p>
    <w:p w14:paraId="19F28DCE" w14:textId="77777777" w:rsidR="00126552" w:rsidRDefault="005A6E69">
      <w:pPr>
        <w:pStyle w:val="BodyText"/>
      </w:pPr>
      <w:r>
        <w:rPr>
          <w:b/>
          <w:bCs/>
        </w:rPr>
        <w:lastRenderedPageBreak/>
        <w:t>Translation:</w:t>
      </w:r>
      <w:r>
        <w:t xml:space="preserve"> Instead of the technical term “Arhat” or the dry “Worthy One,” the translation calls them “brothers who’d made it through to the other side.” It elaborates: “These weren’t no beginners, you understand. These were men who’d walked the long hard road and come out clean” ([Author] 2025).</w:t>
      </w:r>
    </w:p>
    <w:p w14:paraId="0936C59F" w14:textId="77777777" w:rsidR="00126552" w:rsidRDefault="005A6E69">
      <w:pPr>
        <w:pStyle w:val="BodyText"/>
      </w:pPr>
      <w:r>
        <w:rPr>
          <w:b/>
          <w:bCs/>
        </w:rPr>
        <w:t>Analysis:</w:t>
      </w:r>
    </w:p>
    <w:p w14:paraId="15481791" w14:textId="77777777" w:rsidR="00126552" w:rsidRDefault="005A6E69">
      <w:pPr>
        <w:pStyle w:val="Compact"/>
        <w:numPr>
          <w:ilvl w:val="0"/>
          <w:numId w:val="2"/>
        </w:numPr>
      </w:pPr>
      <w:r>
        <w:rPr>
          <w:b/>
          <w:bCs/>
        </w:rPr>
        <w:t>“Made it through”:</w:t>
      </w:r>
      <w:r>
        <w:t xml:space="preserve"> This phrase resonates with the Black spiritual tradition of “making it over” (crossing Jordan, surviving slavery/Jim Crow). It emphasizes the </w:t>
      </w:r>
      <w:r>
        <w:rPr>
          <w:i/>
          <w:iCs/>
        </w:rPr>
        <w:t>struggle</w:t>
      </w:r>
      <w:r>
        <w:t xml:space="preserve"> inherent in the path. The Arhat is not just a saint; he is a survivor.</w:t>
      </w:r>
    </w:p>
    <w:p w14:paraId="09BCCF00" w14:textId="77777777" w:rsidR="00126552" w:rsidRDefault="005A6E69">
      <w:pPr>
        <w:pStyle w:val="Compact"/>
        <w:numPr>
          <w:ilvl w:val="0"/>
          <w:numId w:val="2"/>
        </w:numPr>
      </w:pPr>
      <w:r>
        <w:rPr>
          <w:b/>
          <w:bCs/>
        </w:rPr>
        <w:t>“Come out clean”:</w:t>
      </w:r>
      <w:r>
        <w:t xml:space="preserve"> In Blues slang, “clean” can mean well-dressed or respectable, but here it refers to the purification of </w:t>
      </w:r>
      <w:r>
        <w:rPr>
          <w:i/>
          <w:iCs/>
        </w:rPr>
        <w:t>asravas</w:t>
      </w:r>
      <w:r>
        <w:t xml:space="preserve"> </w:t>
      </w:r>
      <w:r>
        <w:t>(outflows/defilements). It suggests a trial by fire.</w:t>
      </w:r>
    </w:p>
    <w:p w14:paraId="2B5DE4C1" w14:textId="77777777" w:rsidR="00126552" w:rsidRDefault="005A6E69">
      <w:pPr>
        <w:pStyle w:val="Compact"/>
        <w:numPr>
          <w:ilvl w:val="0"/>
          <w:numId w:val="2"/>
        </w:numPr>
      </w:pPr>
      <w:r>
        <w:rPr>
          <w:b/>
          <w:bCs/>
        </w:rPr>
        <w:t>“Dried up all the leaking wounds”:</w:t>
      </w:r>
      <w:r>
        <w:t xml:space="preserve"> A visceral translation of </w:t>
      </w:r>
      <w:r>
        <w:rPr>
          <w:i/>
          <w:iCs/>
        </w:rPr>
        <w:t>k</w:t>
      </w:r>
      <w:r>
        <w:rPr>
          <w:i/>
          <w:iCs/>
        </w:rPr>
        <w:t>ṣ</w:t>
      </w:r>
      <w:r>
        <w:rPr>
          <w:i/>
          <w:iCs/>
        </w:rPr>
        <w:t>ī</w:t>
      </w:r>
      <w:r>
        <w:rPr>
          <w:i/>
          <w:iCs/>
        </w:rPr>
        <w:t>ṇ</w:t>
      </w:r>
      <w:r>
        <w:rPr>
          <w:i/>
          <w:iCs/>
        </w:rPr>
        <w:t>āsrava</w:t>
      </w:r>
      <w:r>
        <w:t xml:space="preserve"> (extinction of outflows). It moves the concept from abstract psychology to physical healing, aligning with the “Doctor Jesus” motif.</w:t>
      </w:r>
    </w:p>
    <w:p w14:paraId="4C1D8AF7" w14:textId="77777777" w:rsidR="00126552" w:rsidRDefault="005A6E69">
      <w:pPr>
        <w:pStyle w:val="Heading3"/>
      </w:pPr>
      <w:bookmarkStart w:id="14" w:name="chapter-2-skillful-means-loving-tricks"/>
      <w:bookmarkEnd w:id="13"/>
      <w:r>
        <w:t>4.2 Chapter 2: Skillful Means – “Loving Tricks”</w:t>
      </w:r>
    </w:p>
    <w:p w14:paraId="2469112E" w14:textId="77777777" w:rsidR="00126552" w:rsidRDefault="005A6E69">
      <w:pPr>
        <w:pStyle w:val="FirstParagraph"/>
      </w:pPr>
      <w:r>
        <w:rPr>
          <w:b/>
          <w:bCs/>
        </w:rPr>
        <w:t>Context:</w:t>
      </w:r>
      <w:r>
        <w:t xml:space="preserve"> The Buddha explains upāya-kauśalya (skillful means/expedient devices).</w:t>
      </w:r>
    </w:p>
    <w:p w14:paraId="6DC4D751" w14:textId="77777777" w:rsidR="00126552" w:rsidRDefault="005A6E69">
      <w:pPr>
        <w:pStyle w:val="BodyText"/>
      </w:pPr>
      <w:r>
        <w:rPr>
          <w:b/>
          <w:bCs/>
        </w:rPr>
        <w:t>Translation:</w:t>
      </w:r>
      <w:r>
        <w:t xml:space="preserve"> The chapter is titled “The Loving Tricks.” The text reads: “Countless loving tricks, that’s what I been using, leading people, guiding them away from all their clinging and holding on” ([Author] 2025).</w:t>
      </w:r>
    </w:p>
    <w:p w14:paraId="338534D0" w14:textId="77777777" w:rsidR="00126552" w:rsidRDefault="005A6E69">
      <w:pPr>
        <w:pStyle w:val="BodyText"/>
      </w:pPr>
      <w:r>
        <w:rPr>
          <w:b/>
          <w:bCs/>
        </w:rPr>
        <w:t>Analysis:</w:t>
      </w:r>
    </w:p>
    <w:p w14:paraId="1847E91B" w14:textId="77777777" w:rsidR="00126552" w:rsidRDefault="005A6E69">
      <w:pPr>
        <w:pStyle w:val="Compact"/>
        <w:numPr>
          <w:ilvl w:val="0"/>
          <w:numId w:val="3"/>
        </w:numPr>
      </w:pPr>
      <w:r>
        <w:rPr>
          <w:b/>
          <w:bCs/>
        </w:rPr>
        <w:t>“Tricks”:</w:t>
      </w:r>
      <w:r>
        <w:t xml:space="preserve"> In African-American folklore, the Trickster figure (Esu, High John the Conqueror, Br’er Rabbit) is a hero who uses wit and deception to survive against overwhelming odds (Kinkead 2015). By associating the Buddha with the Trickster, the translation connects </w:t>
      </w:r>
      <w:r>
        <w:rPr>
          <w:i/>
          <w:iCs/>
        </w:rPr>
        <w:t>upāya</w:t>
      </w:r>
      <w:r>
        <w:t xml:space="preserve"> with the resourcefulness required for survival in an oppressive world.</w:t>
      </w:r>
    </w:p>
    <w:p w14:paraId="19C6669C" w14:textId="77777777" w:rsidR="00126552" w:rsidRDefault="005A6E69">
      <w:pPr>
        <w:pStyle w:val="Compact"/>
        <w:numPr>
          <w:ilvl w:val="0"/>
          <w:numId w:val="3"/>
        </w:numPr>
      </w:pPr>
      <w:r>
        <w:rPr>
          <w:b/>
          <w:bCs/>
        </w:rPr>
        <w:t>“Loving”:</w:t>
      </w:r>
      <w:r>
        <w:t xml:space="preserve"> The addition of “loving” clarifies the motivation. These are not malicious tricks; they are tricks born of </w:t>
      </w:r>
      <w:r>
        <w:rPr>
          <w:i/>
          <w:iCs/>
        </w:rPr>
        <w:t>Maitri</w:t>
      </w:r>
      <w:r>
        <w:t xml:space="preserve"> (loving-kindness). The Buddha “tricks” beings out of the burning house because he loves them. This resolves the ethical tension of </w:t>
      </w:r>
      <w:r>
        <w:rPr>
          <w:i/>
          <w:iCs/>
        </w:rPr>
        <w:t>upāya</w:t>
      </w:r>
      <w:r>
        <w:t xml:space="preserve"> by grounding it in the ethics of care.</w:t>
      </w:r>
    </w:p>
    <w:p w14:paraId="6B5B322E" w14:textId="77777777" w:rsidR="00126552" w:rsidRDefault="005A6E69">
      <w:pPr>
        <w:pStyle w:val="Heading3"/>
      </w:pPr>
      <w:bookmarkStart w:id="15" w:name="X1b5cfc45c990bfc122893153c75f06ab28383d1"/>
      <w:bookmarkEnd w:id="14"/>
      <w:r>
        <w:t>4.3 Chapter 3: The Burning House – “Soaked in Their Games”</w:t>
      </w:r>
    </w:p>
    <w:p w14:paraId="24A101CE" w14:textId="77777777" w:rsidR="00126552" w:rsidRDefault="005A6E69">
      <w:pPr>
        <w:pStyle w:val="FirstParagraph"/>
      </w:pPr>
      <w:r>
        <w:rPr>
          <w:b/>
          <w:bCs/>
        </w:rPr>
        <w:t>Context:</w:t>
      </w:r>
      <w:r>
        <w:t xml:space="preserve"> The parable of the children playing in a burning house, unaware of the danger.</w:t>
      </w:r>
    </w:p>
    <w:p w14:paraId="4FCEEF50" w14:textId="77777777" w:rsidR="00126552" w:rsidRDefault="005A6E69">
      <w:pPr>
        <w:pStyle w:val="BodyText"/>
      </w:pPr>
      <w:r>
        <w:rPr>
          <w:b/>
          <w:bCs/>
        </w:rPr>
        <w:t>Translation:</w:t>
      </w:r>
      <w:r>
        <w:t xml:space="preserve"> The text describes the children as “soaked in their games… they didn’t even know what fire was… just kept running around playing.” The father’s solution is to offer “precious toys” (the three vehicles) to get them out ([Author] 2025).</w:t>
      </w:r>
    </w:p>
    <w:p w14:paraId="50BFA1BC" w14:textId="77777777" w:rsidR="00126552" w:rsidRDefault="005A6E69">
      <w:pPr>
        <w:pStyle w:val="BodyText"/>
      </w:pPr>
      <w:r>
        <w:rPr>
          <w:b/>
          <w:bCs/>
        </w:rPr>
        <w:t>Analysis:</w:t>
      </w:r>
    </w:p>
    <w:p w14:paraId="62AC82AF" w14:textId="77777777" w:rsidR="00126552" w:rsidRDefault="005A6E69">
      <w:pPr>
        <w:pStyle w:val="Compact"/>
        <w:numPr>
          <w:ilvl w:val="0"/>
          <w:numId w:val="4"/>
        </w:numPr>
      </w:pPr>
      <w:r>
        <w:rPr>
          <w:b/>
          <w:bCs/>
        </w:rPr>
        <w:lastRenderedPageBreak/>
        <w:t>“Soaked”:</w:t>
      </w:r>
      <w:r>
        <w:t xml:space="preserve"> This word implies deep saturation and intoxication (</w:t>
      </w:r>
      <w:r>
        <w:rPr>
          <w:i/>
          <w:iCs/>
        </w:rPr>
        <w:t>asava</w:t>
      </w:r>
      <w:r>
        <w:t>). It captures the Buddhist view of attachment as a state of being “drunk” on samsara.</w:t>
      </w:r>
    </w:p>
    <w:p w14:paraId="0F1E682A" w14:textId="77777777" w:rsidR="00126552" w:rsidRDefault="005A6E69">
      <w:pPr>
        <w:pStyle w:val="Compact"/>
        <w:numPr>
          <w:ilvl w:val="0"/>
          <w:numId w:val="4"/>
        </w:numPr>
      </w:pPr>
      <w:r>
        <w:rPr>
          <w:b/>
          <w:bCs/>
        </w:rPr>
        <w:t>“Precious Toys”:</w:t>
      </w:r>
      <w:r>
        <w:t xml:space="preserve"> Rendering the </w:t>
      </w:r>
      <w:r>
        <w:rPr>
          <w:i/>
          <w:iCs/>
        </w:rPr>
        <w:t>yanas</w:t>
      </w:r>
      <w:r>
        <w:t xml:space="preserve"> (vehicles) as “toys” or “playthings” (as in the original) highlights the provisional nature of the earlier teachings. They are tools for engagement, not ultimate ends.</w:t>
      </w:r>
    </w:p>
    <w:p w14:paraId="1C8EDF03" w14:textId="77777777" w:rsidR="00126552" w:rsidRDefault="005A6E69">
      <w:pPr>
        <w:pStyle w:val="Compact"/>
        <w:numPr>
          <w:ilvl w:val="0"/>
          <w:numId w:val="4"/>
        </w:numPr>
      </w:pPr>
      <w:r>
        <w:rPr>
          <w:b/>
          <w:bCs/>
        </w:rPr>
        <w:t>The Urgency:</w:t>
      </w:r>
      <w:r>
        <w:t xml:space="preserve"> The onomatopoeia (“WHOOSH!”) creates a sensory immediacy typical of the oral tradition. It makes the danger of </w:t>
      </w:r>
      <w:r>
        <w:rPr>
          <w:i/>
          <w:iCs/>
        </w:rPr>
        <w:t>samsara</w:t>
      </w:r>
      <w:r>
        <w:t xml:space="preserve"> felt, not just understood.</w:t>
      </w:r>
    </w:p>
    <w:p w14:paraId="300E4212" w14:textId="77777777" w:rsidR="00126552" w:rsidRDefault="005A6E69">
      <w:pPr>
        <w:pStyle w:val="Heading3"/>
      </w:pPr>
      <w:bookmarkStart w:id="16" w:name="Xc3745702971fb4716c757597f6d278575f51d2e"/>
      <w:bookmarkEnd w:id="15"/>
      <w:r>
        <w:t>4.4 Chapter 4: Faith and Understanding – “The Prodigal Son”</w:t>
      </w:r>
    </w:p>
    <w:p w14:paraId="2E09670F" w14:textId="77777777" w:rsidR="00126552" w:rsidRDefault="005A6E69">
      <w:pPr>
        <w:pStyle w:val="FirstParagraph"/>
      </w:pPr>
      <w:r>
        <w:rPr>
          <w:b/>
          <w:bCs/>
        </w:rPr>
        <w:t>Context:</w:t>
      </w:r>
      <w:r>
        <w:t xml:space="preserve"> </w:t>
      </w:r>
      <w:r>
        <w:t>The disciples tell the parable of the poor son who wanders for 50 years, unaware of his wealthy father.</w:t>
      </w:r>
    </w:p>
    <w:p w14:paraId="39C37EF8" w14:textId="77777777" w:rsidR="00126552" w:rsidRDefault="005A6E69">
      <w:pPr>
        <w:pStyle w:val="BodyText"/>
      </w:pPr>
      <w:r>
        <w:rPr>
          <w:b/>
          <w:bCs/>
        </w:rPr>
        <w:t>Translation:</w:t>
      </w:r>
      <w:r>
        <w:t xml:space="preserve"> Framed as “A Blues Story of Coming Home.” The son is described as “hiring himself out for day labor,” “drifting,” and “falling on hard times.” When he sees his father’s wealth, he thinks: “This ain’t no place for a man like me… Better I go to some poor neighborhood where a man can work with his hands” ([Author] 2025).</w:t>
      </w:r>
    </w:p>
    <w:p w14:paraId="1BEAC5BD" w14:textId="77777777" w:rsidR="00126552" w:rsidRDefault="005A6E69">
      <w:pPr>
        <w:pStyle w:val="BodyText"/>
      </w:pPr>
      <w:r>
        <w:rPr>
          <w:b/>
          <w:bCs/>
        </w:rPr>
        <w:t>Analysis:</w:t>
      </w:r>
    </w:p>
    <w:p w14:paraId="18B0AEBE" w14:textId="77777777" w:rsidR="00126552" w:rsidRDefault="005A6E69">
      <w:pPr>
        <w:pStyle w:val="Compact"/>
        <w:numPr>
          <w:ilvl w:val="0"/>
          <w:numId w:val="5"/>
        </w:numPr>
      </w:pPr>
      <w:r>
        <w:rPr>
          <w:b/>
          <w:bCs/>
        </w:rPr>
        <w:t>Class and Race:</w:t>
      </w:r>
      <w:r>
        <w:t xml:space="preserve"> This translation highlights the socio-economic dimension of the parable. The son’s feeling of alienation (“This ain’t no place for a man like me”) resonates with the “imposter syndrome” or “double consciousness” described by Du Bois—the feeling of not belonging in the halls of power or wealth.</w:t>
      </w:r>
    </w:p>
    <w:p w14:paraId="4D2C62A6" w14:textId="77777777" w:rsidR="00126552" w:rsidRDefault="005A6E69">
      <w:pPr>
        <w:pStyle w:val="Compact"/>
        <w:numPr>
          <w:ilvl w:val="0"/>
          <w:numId w:val="5"/>
        </w:numPr>
      </w:pPr>
      <w:r>
        <w:rPr>
          <w:b/>
          <w:bCs/>
        </w:rPr>
        <w:t>Dignity:</w:t>
      </w:r>
      <w:r>
        <w:t xml:space="preserve"> The father’s eventual revelation (“This is my son”) becomes a restoration of ontological dignity. For a community historically stripped of lineage and inheritance (slavery), the promise of a “Buddha inheritance” is profoundly liberatory.</w:t>
      </w:r>
    </w:p>
    <w:p w14:paraId="3AD159EA" w14:textId="77777777" w:rsidR="00126552" w:rsidRDefault="005A6E69">
      <w:pPr>
        <w:pStyle w:val="Compact"/>
        <w:numPr>
          <w:ilvl w:val="0"/>
          <w:numId w:val="5"/>
        </w:numPr>
      </w:pPr>
      <w:r>
        <w:rPr>
          <w:b/>
          <w:bCs/>
        </w:rPr>
        <w:t>“Shoveling Dung”:</w:t>
      </w:r>
      <w:r>
        <w:t xml:space="preserve"> The menial labor the son performs is described in earthy terms (“clearing away dung and trash”). This validates the dignity of labor while pointing to the spiritual work of clearing away mental defilements (“trash”).</w:t>
      </w:r>
    </w:p>
    <w:p w14:paraId="0C733729" w14:textId="77777777" w:rsidR="00126552" w:rsidRDefault="005A6E69">
      <w:pPr>
        <w:pStyle w:val="Heading3"/>
      </w:pPr>
      <w:bookmarkStart w:id="17" w:name="Xa0559b32dea305eed8074e345e4a6339405cb1c"/>
      <w:bookmarkEnd w:id="16"/>
      <w:r>
        <w:t>4.5 Chapter 12: Devadatta – “The Enemy as Teacher”</w:t>
      </w:r>
    </w:p>
    <w:p w14:paraId="3B17C882" w14:textId="77777777" w:rsidR="00126552" w:rsidRDefault="005A6E69">
      <w:pPr>
        <w:pStyle w:val="FirstParagraph"/>
      </w:pPr>
      <w:r>
        <w:rPr>
          <w:b/>
          <w:bCs/>
        </w:rPr>
        <w:t>Context:</w:t>
      </w:r>
      <w:r>
        <w:t xml:space="preserve"> The Buddha reveals that his evil cousin Devadatta was his teacher in a past life.</w:t>
      </w:r>
    </w:p>
    <w:p w14:paraId="1A73E7F0" w14:textId="77777777" w:rsidR="00126552" w:rsidRDefault="005A6E69">
      <w:pPr>
        <w:pStyle w:val="BodyText"/>
      </w:pPr>
      <w:r>
        <w:rPr>
          <w:b/>
          <w:bCs/>
        </w:rPr>
        <w:t>Translation:</w:t>
      </w:r>
      <w:r>
        <w:t xml:space="preserve"> The story takes on the flavor of a Blues ballad about “paying dues.” The King says: “I even used my own body as his bed… And my body never got tired… All for the sake of the Dharma” ([Author] 2025).</w:t>
      </w:r>
    </w:p>
    <w:p w14:paraId="6B95AB51" w14:textId="77777777" w:rsidR="00126552" w:rsidRDefault="005A6E69">
      <w:pPr>
        <w:pStyle w:val="BodyText"/>
      </w:pPr>
      <w:r>
        <w:rPr>
          <w:b/>
          <w:bCs/>
        </w:rPr>
        <w:t>Analysis:</w:t>
      </w:r>
    </w:p>
    <w:p w14:paraId="67DA270D" w14:textId="77777777" w:rsidR="00126552" w:rsidRDefault="005A6E69">
      <w:pPr>
        <w:pStyle w:val="Compact"/>
        <w:numPr>
          <w:ilvl w:val="0"/>
          <w:numId w:val="6"/>
        </w:numPr>
      </w:pPr>
      <w:r>
        <w:rPr>
          <w:b/>
          <w:bCs/>
        </w:rPr>
        <w:t>Paying Dues:</w:t>
      </w:r>
      <w:r>
        <w:t xml:space="preserve"> In the Blues tradition, one must “pay dues” (suffer struggle) to gain mastery. Devadatta is the “hard teacher,” a figure well-known in the </w:t>
      </w:r>
      <w:r>
        <w:t>“school of hard knocks.”</w:t>
      </w:r>
    </w:p>
    <w:p w14:paraId="37191BD4" w14:textId="77777777" w:rsidR="00126552" w:rsidRDefault="005A6E69">
      <w:pPr>
        <w:pStyle w:val="Compact"/>
        <w:numPr>
          <w:ilvl w:val="0"/>
          <w:numId w:val="6"/>
        </w:numPr>
      </w:pPr>
      <w:r>
        <w:rPr>
          <w:b/>
          <w:bCs/>
        </w:rPr>
        <w:t>Non-Dualism:</w:t>
      </w:r>
      <w:r>
        <w:t xml:space="preserve"> The text elevates Devadatta from a villain to a “good spiritual friend” (</w:t>
      </w:r>
      <w:r>
        <w:rPr>
          <w:i/>
          <w:iCs/>
        </w:rPr>
        <w:t>kalyanamitra</w:t>
      </w:r>
      <w:r>
        <w:t xml:space="preserve">). This aligns with the non-dual wisdom of the Blues, where joy and </w:t>
      </w:r>
      <w:r>
        <w:lastRenderedPageBreak/>
        <w:t>pain are intertwined, and the source of suffering (the “bad man” or oppressor) can become the catalyst for transcendence.</w:t>
      </w:r>
    </w:p>
    <w:p w14:paraId="594D6264" w14:textId="77777777" w:rsidR="00126552" w:rsidRDefault="005A6E69">
      <w:pPr>
        <w:pStyle w:val="Heading3"/>
      </w:pPr>
      <w:bookmarkStart w:id="18" w:name="X80bfb8d206843356090d0936c51f0824bf5a598"/>
      <w:bookmarkEnd w:id="17"/>
      <w:r>
        <w:t>4.6 Chapter 16: The Buddha’s Lifespan – “That’s the Truth”</w:t>
      </w:r>
    </w:p>
    <w:p w14:paraId="08C47005" w14:textId="77777777" w:rsidR="00126552" w:rsidRDefault="005A6E69">
      <w:pPr>
        <w:pStyle w:val="FirstParagraph"/>
      </w:pPr>
      <w:r>
        <w:rPr>
          <w:b/>
          <w:bCs/>
        </w:rPr>
        <w:t>Context:</w:t>
      </w:r>
      <w:r>
        <w:t xml:space="preserve"> The Buddha reveals he did not actually become enlightened recently, but eons ago.</w:t>
      </w:r>
    </w:p>
    <w:p w14:paraId="730A338C" w14:textId="77777777" w:rsidR="00126552" w:rsidRDefault="005A6E69">
      <w:pPr>
        <w:pStyle w:val="BodyText"/>
      </w:pPr>
      <w:r>
        <w:rPr>
          <w:b/>
          <w:bCs/>
        </w:rPr>
        <w:t>Translation:</w:t>
      </w:r>
      <w:r>
        <w:t xml:space="preserve"> “I actually became a Buddha countless, boundless… ages ago. That’s the truth.” He explains his apparent death as “medicine” for those who would take him for granted ([Author] 2025).</w:t>
      </w:r>
    </w:p>
    <w:p w14:paraId="696889DA" w14:textId="77777777" w:rsidR="00126552" w:rsidRDefault="005A6E69">
      <w:pPr>
        <w:pStyle w:val="BodyText"/>
      </w:pPr>
      <w:r>
        <w:rPr>
          <w:b/>
          <w:bCs/>
        </w:rPr>
        <w:t>Analysis:</w:t>
      </w:r>
    </w:p>
    <w:p w14:paraId="6A7D641B" w14:textId="77777777" w:rsidR="00126552" w:rsidRDefault="005A6E69">
      <w:pPr>
        <w:pStyle w:val="Compact"/>
        <w:numPr>
          <w:ilvl w:val="0"/>
          <w:numId w:val="7"/>
        </w:numPr>
      </w:pPr>
      <w:r>
        <w:rPr>
          <w:b/>
          <w:bCs/>
        </w:rPr>
        <w:t>“That’s the Truth”:</w:t>
      </w:r>
      <w:r>
        <w:t xml:space="preserve"> This phrase functions like the “Amen” or “Verily, verily” of the Black Church. It grounds the metaphysical claim in personal testimony.</w:t>
      </w:r>
    </w:p>
    <w:p w14:paraId="67765FEF" w14:textId="77777777" w:rsidR="00126552" w:rsidRDefault="005A6E69">
      <w:pPr>
        <w:pStyle w:val="Compact"/>
        <w:numPr>
          <w:ilvl w:val="0"/>
          <w:numId w:val="7"/>
        </w:numPr>
      </w:pPr>
      <w:r>
        <w:rPr>
          <w:b/>
          <w:bCs/>
        </w:rPr>
        <w:t>“Medicine”:</w:t>
      </w:r>
      <w:r>
        <w:t xml:space="preserve"> The metaphor of the Buddha as a doctor leaving medicine for poisoned children resonates with the community’s reliance on folk healing and the figure of Jesus as the “Doctor in the sickroom.” The “poison” is identified as the “upside-down” thinking of the world—a common Blues trope for the insanity of racism and oppression.</w:t>
      </w:r>
    </w:p>
    <w:p w14:paraId="434B44E4" w14:textId="77777777" w:rsidR="00126552" w:rsidRDefault="005A6E69">
      <w:pPr>
        <w:pStyle w:val="Heading2"/>
      </w:pPr>
      <w:bookmarkStart w:id="19" w:name="historical-precedents-and-parallels"/>
      <w:bookmarkEnd w:id="18"/>
      <w:bookmarkEnd w:id="12"/>
      <w:r>
        <w:t>5. Historical Precedents and Parallels</w:t>
      </w:r>
    </w:p>
    <w:p w14:paraId="399EBC57" w14:textId="77777777" w:rsidR="00126552" w:rsidRDefault="005A6E69">
      <w:pPr>
        <w:pStyle w:val="FirstParagraph"/>
      </w:pPr>
      <w:r>
        <w:t>This project does not stand alone; it is part of a lineage of vernacular resistance and inculturation.</w:t>
      </w:r>
    </w:p>
    <w:p w14:paraId="19AC2375" w14:textId="77777777" w:rsidR="00126552" w:rsidRDefault="005A6E69">
      <w:pPr>
        <w:pStyle w:val="Heading3"/>
      </w:pPr>
      <w:bookmarkStart w:id="20" w:name="Xf278ba70e241c5bde7626ce11dfbbc567fe0e48"/>
      <w:r>
        <w:t>5.1 The Gullah Geechee Bible (</w:t>
      </w:r>
      <w:r>
        <w:rPr>
          <w:i/>
          <w:iCs/>
        </w:rPr>
        <w:t>De Nyew Testament</w:t>
      </w:r>
      <w:r>
        <w:t>)</w:t>
      </w:r>
    </w:p>
    <w:p w14:paraId="7BD90EC6" w14:textId="77777777" w:rsidR="00126552" w:rsidRDefault="005A6E69">
      <w:pPr>
        <w:pStyle w:val="FirstParagraph"/>
      </w:pPr>
      <w:r>
        <w:t>The strongest parallel is the translation of the Bible into Gullah Geechee (2005). Like the Blues Lotus Sutra, the Gullah Bible was initially met with skepticism by those who viewed the language as “broken English.” However, its publication was a watershed moment for the validation of Gullah culture. By rendering “The Lord is my shepherd” as “De Lawd me shephud,” the text reclaimed the sacredness of the vernacular (Sea Island Translation Team 2005).</w:t>
      </w:r>
    </w:p>
    <w:p w14:paraId="5118C8E0" w14:textId="77777777" w:rsidR="00126552" w:rsidRDefault="005A6E69">
      <w:pPr>
        <w:pStyle w:val="BodyText"/>
      </w:pPr>
      <w:r>
        <w:t>Both translations operate on the principle that the “heart language” has a spiritual efficacy that the “high language” lacks. Just as the Gullah Bible allows Gullah speakers to hear God speak like their grandmothers, the Blues Lotus Sutra allows the Blues listener to hear the Buddha speak like a Delta elder.</w:t>
      </w:r>
    </w:p>
    <w:p w14:paraId="3EDF1876" w14:textId="77777777" w:rsidR="00126552" w:rsidRDefault="005A6E69">
      <w:pPr>
        <w:pStyle w:val="Heading3"/>
      </w:pPr>
      <w:bookmarkStart w:id="21" w:name="black-liberation-theology"/>
      <w:bookmarkEnd w:id="20"/>
      <w:r>
        <w:t>5.2 Black Liberation Theology</w:t>
      </w:r>
    </w:p>
    <w:p w14:paraId="0FBA2D9A" w14:textId="77777777" w:rsidR="00126552" w:rsidRDefault="005A6E69">
      <w:pPr>
        <w:pStyle w:val="FirstParagraph"/>
      </w:pPr>
      <w:r>
        <w:t>James Cone, the father of Black Liberation Theology, argued that God must be “Black”—meaning God must be identified with the oppressed. He drew heavily on the Spirituals and the Blues as sources of theological reflection, arguing that they contained a “suffering servant” christology indigenous to the Black experience (Cone 1970).</w:t>
      </w:r>
    </w:p>
    <w:p w14:paraId="74743267" w14:textId="77777777" w:rsidR="00126552" w:rsidRDefault="005A6E69">
      <w:pPr>
        <w:pStyle w:val="BodyText"/>
      </w:pPr>
      <w:r>
        <w:lastRenderedPageBreak/>
        <w:t>The Blues Lotus Sutra engages in a similar “Black Liberation Buddhology.” By framing the Bodhisattvas as an “underground army” bursting from the earth (Chapter 15), it evokes the imagery of the Underground Railroad and the Civil Rights movement. It positions the Bodhisattva not as a passive saint, but as a freedom fighter engaged in the liberation of beings from the “burning house” of systemic and samsaric suffering.</w:t>
      </w:r>
    </w:p>
    <w:p w14:paraId="28BE81DF" w14:textId="77777777" w:rsidR="00126552" w:rsidRDefault="005A6E69">
      <w:pPr>
        <w:pStyle w:val="Heading3"/>
      </w:pPr>
      <w:bookmarkStart w:id="22" w:name="street-dharma-and-hip-hop-dharma"/>
      <w:bookmarkEnd w:id="21"/>
      <w:r>
        <w:t>5.3 Street Dharma and Hip-Hop Dharma</w:t>
      </w:r>
    </w:p>
    <w:p w14:paraId="2F89036E" w14:textId="77777777" w:rsidR="00126552" w:rsidRDefault="005A6E69">
      <w:pPr>
        <w:pStyle w:val="FirstParagraph"/>
      </w:pPr>
      <w:r>
        <w:t xml:space="preserve">Recent movements like “Street Dharma” (led by practitioners like Kiley Jon Clark) and “Hip-Hop Dharma” (explored by writers referencing the intersection of rap and mindfulness) attempt to strip Buddhism of its Asian cultural baggage and class elitism (Clark 2015). The Blues Lotus Sutra provides a </w:t>
      </w:r>
      <w:r>
        <w:rPr>
          <w:i/>
          <w:iCs/>
        </w:rPr>
        <w:t>scriptural foundation</w:t>
      </w:r>
      <w:r>
        <w:t xml:space="preserve"> for this movement. It offers a primary text that sounds like the street, validating the “Street Dharma” claim that the Dharma is omnipresent.</w:t>
      </w:r>
    </w:p>
    <w:p w14:paraId="36556E60" w14:textId="77777777" w:rsidR="00126552" w:rsidRDefault="005A6E69">
      <w:pPr>
        <w:pStyle w:val="Heading2"/>
      </w:pPr>
      <w:bookmarkStart w:id="23" w:name="Xcf5c7ffd0e06a40ac33a8c21256b6d1a1b8e0ba"/>
      <w:bookmarkEnd w:id="22"/>
      <w:bookmarkEnd w:id="19"/>
      <w:r>
        <w:t>6. African-American Buddhism: Reclaiming the Dharma</w:t>
      </w:r>
    </w:p>
    <w:p w14:paraId="0678236F" w14:textId="77777777" w:rsidR="00126552" w:rsidRDefault="005A6E69">
      <w:pPr>
        <w:pStyle w:val="FirstParagraph"/>
      </w:pPr>
      <w:r>
        <w:t>The translation must also be situated within the growing field of African-American Buddhism.</w:t>
      </w:r>
    </w:p>
    <w:p w14:paraId="49F40289" w14:textId="77777777" w:rsidR="00126552" w:rsidRDefault="005A6E69">
      <w:pPr>
        <w:pStyle w:val="Heading3"/>
      </w:pPr>
      <w:bookmarkStart w:id="24" w:name="the-double-consciousness-and-anatta"/>
      <w:r>
        <w:t xml:space="preserve">6.1 The “Double Consciousness” and </w:t>
      </w:r>
      <w:r>
        <w:rPr>
          <w:i/>
          <w:iCs/>
        </w:rPr>
        <w:t>Anatta</w:t>
      </w:r>
    </w:p>
    <w:p w14:paraId="311217DD" w14:textId="77777777" w:rsidR="00126552" w:rsidRDefault="005A6E69">
      <w:pPr>
        <w:pStyle w:val="FirstParagraph"/>
      </w:pPr>
      <w:r>
        <w:t xml:space="preserve">Charles Johnson, a prominent Black Buddhist scholar and novelist, has written extensively on the intersection of W.E.B. Du Bois’s concept of “double consciousness” (the sensation of looking at oneself through the eyes of a racist other) and the Buddhist concept of </w:t>
      </w:r>
      <w:r>
        <w:rPr>
          <w:i/>
          <w:iCs/>
        </w:rPr>
        <w:t>anatta</w:t>
      </w:r>
      <w:r>
        <w:t xml:space="preserve"> (non-self). Johnson argues that the Black experience of having one’s identity dismantled by slavery necessitates a reconstruction of the self that is fluid, resilient, and interconnected—a “Buddhist” self by necessity (Johnson 2003).</w:t>
      </w:r>
    </w:p>
    <w:p w14:paraId="1E2A47D0" w14:textId="77777777" w:rsidR="00126552" w:rsidRDefault="005A6E69">
      <w:pPr>
        <w:pStyle w:val="BodyText"/>
      </w:pPr>
      <w:r>
        <w:t>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p w14:paraId="5711B7D3" w14:textId="77777777" w:rsidR="00126552" w:rsidRDefault="005A6E69">
      <w:pPr>
        <w:pStyle w:val="Heading3"/>
      </w:pPr>
      <w:bookmarkStart w:id="25" w:name="jan-willis-and-baptist-buddhism"/>
      <w:bookmarkEnd w:id="24"/>
      <w:r>
        <w:t>6.2 Jan Willis and “Baptist Buddhism”</w:t>
      </w:r>
    </w:p>
    <w:p w14:paraId="5DC5FB82" w14:textId="77777777" w:rsidR="00126552" w:rsidRDefault="005A6E69">
      <w:pPr>
        <w:pStyle w:val="FirstParagraph"/>
      </w:pPr>
      <w:r>
        <w:t xml:space="preserve">Jan Willis, author of </w:t>
      </w:r>
      <w:r>
        <w:rPr>
          <w:i/>
          <w:iCs/>
        </w:rPr>
        <w:t>Dreaming Me</w:t>
      </w:r>
      <w:r>
        <w:t>, describes her journey as “Black, Baptist, and Buddhist.” She argues that one does not have to erase one’s heritage to embrace the Dharma (Willis 2001). The Blues translation embodies this synthesis. It sounds “Baptist” in its rhythm and fervor (the “Hallelujah” praise styles of the Bodhisattvas), yet it remains rigorously Buddhist in its doctrine. It is a text for the “Baptist Buddhist,” resolving the tension between the two identities.</w:t>
      </w:r>
    </w:p>
    <w:p w14:paraId="0F4E8C9C" w14:textId="77777777" w:rsidR="00126552" w:rsidRDefault="005A6E69">
      <w:pPr>
        <w:pStyle w:val="Heading2"/>
      </w:pPr>
      <w:bookmarkStart w:id="26" w:name="critical-reception-and-ethics"/>
      <w:bookmarkEnd w:id="25"/>
      <w:bookmarkEnd w:id="23"/>
      <w:r>
        <w:lastRenderedPageBreak/>
        <w:t>7. Critical Reception and Ethics</w:t>
      </w:r>
    </w:p>
    <w:p w14:paraId="5375031B" w14:textId="77777777" w:rsidR="00126552" w:rsidRDefault="005A6E69">
      <w:pPr>
        <w:pStyle w:val="Heading3"/>
      </w:pPr>
      <w:bookmarkStart w:id="27" w:name="the-question-of-appropriation"/>
      <w:r>
        <w:t>7.1 The Question of Appropriation</w:t>
      </w:r>
    </w:p>
    <w:p w14:paraId="4B04F2C2" w14:textId="77777777" w:rsidR="00126552" w:rsidRDefault="005A6E69">
      <w:pPr>
        <w:pStyle w:val="FirstParagraph"/>
      </w:pPr>
      <w:r>
        <w:t>A scholarly critique must address the potential for cultural appropriation. This is a serious ethical question in Translation Studies.</w:t>
      </w:r>
    </w:p>
    <w:p w14:paraId="17E1CF0D" w14:textId="77777777" w:rsidR="00126552" w:rsidRDefault="005A6E69">
      <w:pPr>
        <w:pStyle w:val="BodyText"/>
      </w:pPr>
      <w:r>
        <w:t xml:space="preserve">However, scholarship on “Black English” and translation suggests that the key factor is </w:t>
      </w:r>
      <w:r>
        <w:rPr>
          <w:i/>
          <w:iCs/>
        </w:rPr>
        <w:t>respect</w:t>
      </w:r>
      <w:r>
        <w:t xml:space="preserve"> and </w:t>
      </w:r>
      <w:r>
        <w:rPr>
          <w:i/>
          <w:iCs/>
        </w:rPr>
        <w:t>grammatical accuracy</w:t>
      </w:r>
      <w:r>
        <w:t>. “Mock Ebonics” relies on stereotypes and ungrammatical chaos. Genuine AAVE (African American Vernacular English) is a rule-governed linguistic system.</w:t>
      </w:r>
    </w:p>
    <w:p w14:paraId="4CD0DFA4" w14:textId="77777777" w:rsidR="00126552" w:rsidRDefault="005A6E69">
      <w:pPr>
        <w:pStyle w:val="BodyText"/>
      </w:pPr>
      <w:r>
        <w:t xml:space="preserve">A review of the provided text suggests a respectful, consistent use of AAVE grammar (e.g., the habitual “be” implied in context, the use of double negatives for emphasis: “won’t never be mute”). The text treats the idiom as a </w:t>
      </w:r>
      <w:r>
        <w:rPr>
          <w:i/>
          <w:iCs/>
        </w:rPr>
        <w:t>liturgical</w:t>
      </w:r>
      <w:r>
        <w:t xml:space="preserve"> language—formal, rhythmic, and poetic—rather than as casual slang. It elevates the dialect rather than mocking it. Furthermore, historically, the Blues has crossed racial lines to become a universal language of suffering (as noted by Oliver 1990). If the intent is </w:t>
      </w:r>
      <w:r>
        <w:rPr>
          <w:i/>
          <w:iCs/>
        </w:rPr>
        <w:t>upāya</w:t>
      </w:r>
      <w:r>
        <w:t xml:space="preserve"> (skillful means to save beings), Buddhist ethics generally prioritizes efficacy and intent over identity politics.</w:t>
      </w:r>
    </w:p>
    <w:p w14:paraId="04208015" w14:textId="77777777" w:rsidR="00126552" w:rsidRDefault="005A6E69">
      <w:pPr>
        <w:pStyle w:val="Heading3"/>
      </w:pPr>
      <w:bookmarkStart w:id="28" w:name="the-dumbing-down-critique"/>
      <w:bookmarkEnd w:id="27"/>
      <w:r>
        <w:t>7.2 The “Dumbing Down” Critique</w:t>
      </w:r>
    </w:p>
    <w:p w14:paraId="6DDE4F83" w14:textId="77777777" w:rsidR="00126552" w:rsidRDefault="005A6E69">
      <w:pPr>
        <w:pStyle w:val="FirstParagraph"/>
      </w:pPr>
      <w:r>
        <w:t xml:space="preserve">Traditionalists might argue that translating “Arhat” as “brother who made it through” or </w:t>
      </w:r>
      <w:r>
        <w:rPr>
          <w:i/>
          <w:iCs/>
        </w:rPr>
        <w:t>Upāya</w:t>
      </w:r>
      <w:r>
        <w:t xml:space="preserve"> as “loving tricks” loses technical precision.</w:t>
      </w:r>
    </w:p>
    <w:p w14:paraId="049D430A" w14:textId="77777777" w:rsidR="00126552" w:rsidRDefault="005A6E69">
      <w:pPr>
        <w:pStyle w:val="BodyText"/>
      </w:pPr>
      <w:r>
        <w:rPr>
          <w:b/>
          <w:bCs/>
        </w:rPr>
        <w:t>Rebuttal:</w:t>
      </w:r>
      <w:r>
        <w:t xml:space="preserve"> The translation actually </w:t>
      </w:r>
      <w:r>
        <w:rPr>
          <w:i/>
          <w:iCs/>
        </w:rPr>
        <w:t>retains</w:t>
      </w:r>
      <w:r>
        <w:t xml:space="preserve"> the technical definition in the explanatory text. For Arhats, it adds: “They’d dried up all the leaking wounds of craving. They’d burned out every last bit of that fever we call desire” ([Author] 2025). It essentially provides a vernacular </w:t>
      </w:r>
      <w:r>
        <w:rPr>
          <w:i/>
          <w:iCs/>
        </w:rPr>
        <w:t>commentary</w:t>
      </w:r>
      <w:r>
        <w:t xml:space="preserve"> within the translation. This aligns with the ancient Buddhist tradition of </w:t>
      </w:r>
      <w:r>
        <w:rPr>
          <w:i/>
          <w:iCs/>
        </w:rPr>
        <w:t>sastra</w:t>
      </w:r>
      <w:r>
        <w:t xml:space="preserve"> (commentary) and the Tibetan practice of expanding terms in translation to ensure understanding. It is not “dumbing down”; it is “unpacking.”</w:t>
      </w:r>
    </w:p>
    <w:p w14:paraId="20218012" w14:textId="77777777" w:rsidR="00126552" w:rsidRDefault="005A6E69">
      <w:pPr>
        <w:pStyle w:val="Heading2"/>
      </w:pPr>
      <w:bookmarkStart w:id="29" w:name="X74814a57f8b644cbc88a4232809d5b1b945412d"/>
      <w:bookmarkEnd w:id="28"/>
      <w:bookmarkEnd w:id="26"/>
      <w:r>
        <w:t>8. Conclusion: The Universal Door of the Blues</w:t>
      </w:r>
    </w:p>
    <w:p w14:paraId="403AF72C" w14:textId="77777777" w:rsidR="00126552" w:rsidRDefault="005A6E69">
      <w:pPr>
        <w:pStyle w:val="FirstParagraph"/>
      </w:pPr>
      <w:r>
        <w:t xml:space="preserve">The translation of the </w:t>
      </w:r>
      <w:r>
        <w:rPr>
          <w:i/>
          <w:iCs/>
        </w:rPr>
        <w:t>Lotus Sutra</w:t>
      </w:r>
      <w:r>
        <w:t xml:space="preserve"> into African-American Blues vernacular is a bold, scholarly defensible, and spiritually significant endeavor. It stands on the shoulders of the Gullah Bible, the translation theories of Nida and Venuti, and the adaptive history of Buddhism itself.</w:t>
      </w:r>
    </w:p>
    <w:p w14:paraId="31293B83" w14:textId="77777777" w:rsidR="00126552" w:rsidRDefault="005A6E69">
      <w:pPr>
        <w:pStyle w:val="BodyText"/>
      </w:pPr>
      <w:r>
        <w:t xml:space="preserve">By fusing the “King of Sutras” with the “King of American Music” (the Blues), this work suggests that the </w:t>
      </w:r>
      <w:r>
        <w:rPr>
          <w:i/>
          <w:iCs/>
        </w:rPr>
        <w:t>Dharma</w:t>
      </w:r>
      <w:r>
        <w:t xml:space="preserve"> is not a static object belonging to an Asian past, but a living force that can “sing” in any key. It validates the Blues not just as a musical genre, but as a valid vessel for the highest transcendental truths.</w:t>
      </w:r>
    </w:p>
    <w:p w14:paraId="15DCD2FB" w14:textId="77777777" w:rsidR="00126552" w:rsidRDefault="005A6E69">
      <w:pPr>
        <w:pStyle w:val="BodyText"/>
      </w:pPr>
      <w:r>
        <w:t xml:space="preserve">For scholars of Buddhism, it offers a fresh case study in the adaptation of the Dharma to the West—moving beyond “Protestant Buddhism” (intellectual, dry, text-historical) to a “Blues Buddhism” (embodied, rhythmic, soulful). For scholars of African-American studies, </w:t>
      </w:r>
      <w:r>
        <w:lastRenderedPageBreak/>
        <w:t>it highlights the global resonance of Black culture and its capacity to absorb and transform global wisdom traditions.</w:t>
      </w:r>
    </w:p>
    <w:p w14:paraId="5396981C" w14:textId="77777777" w:rsidR="00126552" w:rsidRDefault="005A6E69">
      <w:pPr>
        <w:pStyle w:val="BodyText"/>
      </w:pPr>
      <w:r>
        <w:t>Ultimately, this translation argues that if the Buddha were to appear in the Mississippi Delta or the streets of Chicago, he would likely speak in the Blues idiom—because, as the Sutra itself says, he “speaks with the voice that makes all things rejoice.” The “Blues Lotus” is a testament to the universality of the Dharma and the resilience of the human spirit in the face of the “low-down shakes” of samsara.</w:t>
      </w:r>
    </w:p>
    <w:p w14:paraId="53565B76" w14:textId="77777777" w:rsidR="00126552" w:rsidRDefault="00DD6079">
      <w:r>
        <w:rPr>
          <w:noProof/>
        </w:rPr>
      </w:r>
      <w:r w:rsidR="00DD6079">
        <w:rPr>
          <w:noProof/>
        </w:rPr>
        <w:pict w14:anchorId="795D8459">
          <v:rect id="_x0000_i1027" alt="" style="width:468pt;height:.05pt;mso-width-percent:0;mso-height-percent:0;mso-width-percent:0;mso-height-percent:0" o:hralign="center" o:hrstd="t" o:hr="t"/>
        </w:pict>
      </w:r>
    </w:p>
    <w:p w14:paraId="32FFB049" w14:textId="77777777" w:rsidR="00126552" w:rsidRDefault="005A6E69">
      <w:pPr>
        <w:pStyle w:val="Heading3"/>
      </w:pPr>
      <w:bookmarkStart w:id="30" w:name="Xf535ec2d89ee5d2f6182bb4d8179cbfa1150ae0"/>
      <w:r>
        <w:t>Table 1: Comparative Analysis of Key Terms</w:t>
      </w:r>
    </w:p>
    <w:tbl>
      <w:tblPr>
        <w:tblStyle w:val="Table"/>
        <w:tblW w:w="5000" w:type="pct"/>
        <w:tblLayout w:type="fixed"/>
        <w:tblLook w:val="0020" w:firstRow="1" w:lastRow="0" w:firstColumn="0" w:lastColumn="0" w:noHBand="0" w:noVBand="0"/>
      </w:tblPr>
      <w:tblGrid>
        <w:gridCol w:w="2394"/>
        <w:gridCol w:w="2394"/>
        <w:gridCol w:w="2394"/>
        <w:gridCol w:w="2394"/>
      </w:tblGrid>
      <w:tr w:rsidR="00126552" w14:paraId="1C700CE3" w14:textId="77777777" w:rsidTr="0012655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61AA202" w14:textId="77777777" w:rsidR="00126552" w:rsidRDefault="005A6E69">
            <w:pPr>
              <w:pStyle w:val="Compact"/>
            </w:pPr>
            <w:r>
              <w:t>Classical Term (Sanskrit/Chinese)</w:t>
            </w:r>
          </w:p>
        </w:tc>
        <w:tc>
          <w:tcPr>
            <w:tcW w:w="1980" w:type="dxa"/>
          </w:tcPr>
          <w:p w14:paraId="16C5F721" w14:textId="77777777" w:rsidR="00126552" w:rsidRDefault="005A6E69">
            <w:pPr>
              <w:pStyle w:val="Compact"/>
            </w:pPr>
            <w:r>
              <w:t>Traditional English Translation</w:t>
            </w:r>
          </w:p>
        </w:tc>
        <w:tc>
          <w:tcPr>
            <w:tcW w:w="1980" w:type="dxa"/>
          </w:tcPr>
          <w:p w14:paraId="43A65CA5" w14:textId="77777777" w:rsidR="00126552" w:rsidRDefault="005A6E69">
            <w:pPr>
              <w:pStyle w:val="Compact"/>
            </w:pPr>
            <w:r>
              <w:t>Blues Vernacular Translation (Approx.)</w:t>
            </w:r>
          </w:p>
        </w:tc>
        <w:tc>
          <w:tcPr>
            <w:tcW w:w="1980" w:type="dxa"/>
          </w:tcPr>
          <w:p w14:paraId="603CED7F" w14:textId="77777777" w:rsidR="00126552" w:rsidRDefault="005A6E69">
            <w:pPr>
              <w:pStyle w:val="Compact"/>
            </w:pPr>
            <w:r>
              <w:t>Philosophical Implication in Blues Context</w:t>
            </w:r>
          </w:p>
        </w:tc>
      </w:tr>
      <w:tr w:rsidR="00126552" w14:paraId="14BE3CF7" w14:textId="77777777">
        <w:tc>
          <w:tcPr>
            <w:tcW w:w="1980" w:type="dxa"/>
          </w:tcPr>
          <w:p w14:paraId="11AB1B96" w14:textId="77777777" w:rsidR="00126552" w:rsidRDefault="005A6E69">
            <w:pPr>
              <w:pStyle w:val="Compact"/>
            </w:pPr>
            <w:r>
              <w:rPr>
                <w:b/>
                <w:bCs/>
              </w:rPr>
              <w:t>Arhat</w:t>
            </w:r>
            <w:r>
              <w:t xml:space="preserve"> (Arahant / Lohan)</w:t>
            </w:r>
          </w:p>
        </w:tc>
        <w:tc>
          <w:tcPr>
            <w:tcW w:w="1980" w:type="dxa"/>
          </w:tcPr>
          <w:p w14:paraId="6C4E0907" w14:textId="77777777" w:rsidR="00126552" w:rsidRDefault="005A6E69">
            <w:pPr>
              <w:pStyle w:val="Compact"/>
            </w:pPr>
            <w:r>
              <w:t>Worthy One / Saint / Slayer of the Enemy</w:t>
            </w:r>
          </w:p>
        </w:tc>
        <w:tc>
          <w:tcPr>
            <w:tcW w:w="1980" w:type="dxa"/>
          </w:tcPr>
          <w:p w14:paraId="08BD52F3" w14:textId="77777777" w:rsidR="00126552" w:rsidRDefault="005A6E69">
            <w:pPr>
              <w:pStyle w:val="Compact"/>
            </w:pPr>
            <w:r>
              <w:t>“Brother who’d made it through to the other side”; “Came out clean”</w:t>
            </w:r>
          </w:p>
        </w:tc>
        <w:tc>
          <w:tcPr>
            <w:tcW w:w="1980" w:type="dxa"/>
          </w:tcPr>
          <w:p w14:paraId="6223DC10" w14:textId="77777777" w:rsidR="00126552" w:rsidRDefault="005A6E69">
            <w:pPr>
              <w:pStyle w:val="Compact"/>
            </w:pPr>
            <w:r>
              <w:t xml:space="preserve">Emphasizes the </w:t>
            </w:r>
            <w:r>
              <w:rPr>
                <w:i/>
                <w:iCs/>
              </w:rPr>
              <w:t>struggle</w:t>
            </w:r>
            <w:r>
              <w:t xml:space="preserve"> and </w:t>
            </w:r>
            <w:r>
              <w:rPr>
                <w:i/>
                <w:iCs/>
              </w:rPr>
              <w:t>survival</w:t>
            </w:r>
            <w:r>
              <w:t xml:space="preserve"> of the path rather than static holiness. Resonates with “crossing over” imagery.</w:t>
            </w:r>
          </w:p>
        </w:tc>
      </w:tr>
      <w:tr w:rsidR="00126552" w14:paraId="20416200" w14:textId="77777777">
        <w:tc>
          <w:tcPr>
            <w:tcW w:w="1980" w:type="dxa"/>
          </w:tcPr>
          <w:p w14:paraId="61357977" w14:textId="77777777" w:rsidR="00126552" w:rsidRDefault="005A6E69">
            <w:pPr>
              <w:pStyle w:val="Compact"/>
            </w:pPr>
            <w:r>
              <w:rPr>
                <w:b/>
                <w:bCs/>
              </w:rPr>
              <w:t>Upāya-kauśalya</w:t>
            </w:r>
            <w:r>
              <w:t xml:space="preserve"> (Fāngbiàn)</w:t>
            </w:r>
          </w:p>
        </w:tc>
        <w:tc>
          <w:tcPr>
            <w:tcW w:w="1980" w:type="dxa"/>
          </w:tcPr>
          <w:p w14:paraId="5B81AABD" w14:textId="77777777" w:rsidR="00126552" w:rsidRDefault="005A6E69">
            <w:pPr>
              <w:pStyle w:val="Compact"/>
            </w:pPr>
            <w:r>
              <w:t>Skillful Means / Expedient Devices</w:t>
            </w:r>
          </w:p>
        </w:tc>
        <w:tc>
          <w:tcPr>
            <w:tcW w:w="1980" w:type="dxa"/>
          </w:tcPr>
          <w:p w14:paraId="187FECB4" w14:textId="77777777" w:rsidR="00126552" w:rsidRDefault="005A6E69">
            <w:pPr>
              <w:pStyle w:val="Compact"/>
            </w:pPr>
            <w:r>
              <w:t>“Loving tricks”; “Ways to get you home”</w:t>
            </w:r>
          </w:p>
        </w:tc>
        <w:tc>
          <w:tcPr>
            <w:tcW w:w="1980" w:type="dxa"/>
          </w:tcPr>
          <w:p w14:paraId="7EA87946" w14:textId="77777777" w:rsidR="00126552" w:rsidRDefault="005A6E69">
            <w:pPr>
              <w:pStyle w:val="Compact"/>
            </w:pPr>
            <w:r>
              <w:t xml:space="preserve">Highlights the </w:t>
            </w:r>
            <w:r>
              <w:rPr>
                <w:i/>
                <w:iCs/>
              </w:rPr>
              <w:t>compassionate deception</w:t>
            </w:r>
            <w:r>
              <w:t xml:space="preserve"> </w:t>
            </w:r>
            <w:r>
              <w:t>necessary to save beings from delusion; aligns with Trickster archetypes (Esu).</w:t>
            </w:r>
          </w:p>
        </w:tc>
      </w:tr>
      <w:tr w:rsidR="00126552" w14:paraId="1430DF20" w14:textId="77777777">
        <w:tc>
          <w:tcPr>
            <w:tcW w:w="1980" w:type="dxa"/>
          </w:tcPr>
          <w:p w14:paraId="07595F50" w14:textId="77777777" w:rsidR="00126552" w:rsidRDefault="005A6E69">
            <w:pPr>
              <w:pStyle w:val="Compact"/>
            </w:pPr>
            <w:r>
              <w:rPr>
                <w:b/>
                <w:bCs/>
              </w:rPr>
              <w:t>Nirvā</w:t>
            </w:r>
            <w:r>
              <w:rPr>
                <w:b/>
                <w:bCs/>
              </w:rPr>
              <w:t>ṇ</w:t>
            </w:r>
            <w:r>
              <w:rPr>
                <w:b/>
                <w:bCs/>
              </w:rPr>
              <w:t>a</w:t>
            </w:r>
            <w:r>
              <w:t xml:space="preserve"> (Nièpán)</w:t>
            </w:r>
          </w:p>
        </w:tc>
        <w:tc>
          <w:tcPr>
            <w:tcW w:w="1980" w:type="dxa"/>
          </w:tcPr>
          <w:p w14:paraId="0AAA3437" w14:textId="77777777" w:rsidR="00126552" w:rsidRDefault="005A6E69">
            <w:pPr>
              <w:pStyle w:val="Compact"/>
            </w:pPr>
            <w:r>
              <w:t>Extinction / Cessation / Unbinding</w:t>
            </w:r>
          </w:p>
        </w:tc>
        <w:tc>
          <w:tcPr>
            <w:tcW w:w="1980" w:type="dxa"/>
          </w:tcPr>
          <w:p w14:paraId="3EA1E5A4" w14:textId="77777777" w:rsidR="00126552" w:rsidRDefault="005A6E69">
            <w:pPr>
              <w:pStyle w:val="Compact"/>
            </w:pPr>
            <w:r>
              <w:t>“That final peace beyond peace”; “Rest”; “The fever broke”</w:t>
            </w:r>
          </w:p>
        </w:tc>
        <w:tc>
          <w:tcPr>
            <w:tcW w:w="1980" w:type="dxa"/>
          </w:tcPr>
          <w:p w14:paraId="63F39F3D" w14:textId="77777777" w:rsidR="00126552" w:rsidRDefault="005A6E69">
            <w:pPr>
              <w:pStyle w:val="Compact"/>
            </w:pPr>
            <w:r>
              <w:t xml:space="preserve">Focuses on the </w:t>
            </w:r>
            <w:r>
              <w:rPr>
                <w:i/>
                <w:iCs/>
              </w:rPr>
              <w:t>experiential relief</w:t>
            </w:r>
            <w:r>
              <w:t xml:space="preserve"> from the burden of suffering (dukkha/blues). Framing it as “rest” connects to the weary laborer’s hope.</w:t>
            </w:r>
          </w:p>
        </w:tc>
      </w:tr>
      <w:tr w:rsidR="00126552" w14:paraId="3ACFB265" w14:textId="77777777">
        <w:tc>
          <w:tcPr>
            <w:tcW w:w="1980" w:type="dxa"/>
          </w:tcPr>
          <w:p w14:paraId="31EC7AAF" w14:textId="77777777" w:rsidR="00126552" w:rsidRDefault="005A6E69">
            <w:pPr>
              <w:pStyle w:val="Compact"/>
            </w:pPr>
            <w:r>
              <w:rPr>
                <w:b/>
                <w:bCs/>
              </w:rPr>
              <w:t>Saha World</w:t>
            </w:r>
            <w:r>
              <w:t xml:space="preserve"> (Suōpó)</w:t>
            </w:r>
          </w:p>
        </w:tc>
        <w:tc>
          <w:tcPr>
            <w:tcW w:w="1980" w:type="dxa"/>
          </w:tcPr>
          <w:p w14:paraId="582B5DEB" w14:textId="77777777" w:rsidR="00126552" w:rsidRDefault="005A6E69">
            <w:pPr>
              <w:pStyle w:val="Compact"/>
            </w:pPr>
            <w:r>
              <w:t>Endurance World / World of Suffering</w:t>
            </w:r>
          </w:p>
        </w:tc>
        <w:tc>
          <w:tcPr>
            <w:tcW w:w="1980" w:type="dxa"/>
          </w:tcPr>
          <w:p w14:paraId="12BEF21E" w14:textId="77777777" w:rsidR="00126552" w:rsidRDefault="005A6E69">
            <w:pPr>
              <w:pStyle w:val="Compact"/>
            </w:pPr>
            <w:r>
              <w:t>“This troubled world”; “This endurance-land”; “This endurance-place”</w:t>
            </w:r>
          </w:p>
        </w:tc>
        <w:tc>
          <w:tcPr>
            <w:tcW w:w="1980" w:type="dxa"/>
          </w:tcPr>
          <w:p w14:paraId="425B1209" w14:textId="77777777" w:rsidR="00126552" w:rsidRDefault="005A6E69">
            <w:pPr>
              <w:pStyle w:val="Compact"/>
            </w:pPr>
            <w:r>
              <w:t xml:space="preserve">Connects the cosmological concept of </w:t>
            </w:r>
            <w:r>
              <w:rPr>
                <w:i/>
                <w:iCs/>
              </w:rPr>
              <w:t>Saha</w:t>
            </w:r>
            <w:r>
              <w:t xml:space="preserve"> (bearing/enduring) with the socio-</w:t>
            </w:r>
            <w:r>
              <w:lastRenderedPageBreak/>
              <w:t>historical reality of Black endurance under oppression.</w:t>
            </w:r>
          </w:p>
        </w:tc>
      </w:tr>
      <w:tr w:rsidR="00126552" w14:paraId="127A182E" w14:textId="77777777">
        <w:tc>
          <w:tcPr>
            <w:tcW w:w="1980" w:type="dxa"/>
          </w:tcPr>
          <w:p w14:paraId="4CFB9F56" w14:textId="77777777" w:rsidR="00126552" w:rsidRDefault="005A6E69">
            <w:pPr>
              <w:pStyle w:val="Compact"/>
            </w:pPr>
            <w:r>
              <w:rPr>
                <w:b/>
                <w:bCs/>
              </w:rPr>
              <w:lastRenderedPageBreak/>
              <w:t>Avīci Hell</w:t>
            </w:r>
            <w:r>
              <w:t xml:space="preserve"> (Wújiàn dìyù)</w:t>
            </w:r>
          </w:p>
        </w:tc>
        <w:tc>
          <w:tcPr>
            <w:tcW w:w="1980" w:type="dxa"/>
          </w:tcPr>
          <w:p w14:paraId="6C1C8D7E" w14:textId="77777777" w:rsidR="00126552" w:rsidRDefault="005A6E69">
            <w:pPr>
              <w:pStyle w:val="Compact"/>
            </w:pPr>
            <w:r>
              <w:t>Uninterrupted Hell / Lowest Hell</w:t>
            </w:r>
          </w:p>
        </w:tc>
        <w:tc>
          <w:tcPr>
            <w:tcW w:w="1980" w:type="dxa"/>
          </w:tcPr>
          <w:p w14:paraId="1E6D0027" w14:textId="77777777" w:rsidR="00126552" w:rsidRDefault="005A6E69">
            <w:pPr>
              <w:pStyle w:val="Compact"/>
            </w:pPr>
            <w:r>
              <w:t>“Deepest hell where suffering don’t quit”; “The pit”</w:t>
            </w:r>
          </w:p>
        </w:tc>
        <w:tc>
          <w:tcPr>
            <w:tcW w:w="1980" w:type="dxa"/>
          </w:tcPr>
          <w:p w14:paraId="56ABA8DD" w14:textId="77777777" w:rsidR="00126552" w:rsidRDefault="005A6E69">
            <w:pPr>
              <w:pStyle w:val="Compact"/>
            </w:pPr>
            <w:r>
              <w:t xml:space="preserve">Uses AAVE grammatical structure (“don’t quit”) to emphasize the </w:t>
            </w:r>
            <w:r>
              <w:rPr>
                <w:i/>
                <w:iCs/>
              </w:rPr>
              <w:t>eternal/relentless nature</w:t>
            </w:r>
            <w:r>
              <w:t xml:space="preserve"> of the suffering.</w:t>
            </w:r>
          </w:p>
        </w:tc>
      </w:tr>
      <w:tr w:rsidR="00126552" w14:paraId="0E5F779A" w14:textId="77777777">
        <w:tc>
          <w:tcPr>
            <w:tcW w:w="1980" w:type="dxa"/>
          </w:tcPr>
          <w:p w14:paraId="70FE53C8" w14:textId="77777777" w:rsidR="00126552" w:rsidRDefault="005A6E69">
            <w:pPr>
              <w:pStyle w:val="Compact"/>
            </w:pPr>
            <w:r>
              <w:rPr>
                <w:b/>
                <w:bCs/>
              </w:rPr>
              <w:t>Bodhisattva</w:t>
            </w:r>
            <w:r>
              <w:t xml:space="preserve"> (Púsà)</w:t>
            </w:r>
          </w:p>
        </w:tc>
        <w:tc>
          <w:tcPr>
            <w:tcW w:w="1980" w:type="dxa"/>
          </w:tcPr>
          <w:p w14:paraId="67E10CE6" w14:textId="77777777" w:rsidR="00126552" w:rsidRDefault="005A6E69">
            <w:pPr>
              <w:pStyle w:val="Compact"/>
            </w:pPr>
            <w:r>
              <w:t>Awakening Being / Enlightenment Being</w:t>
            </w:r>
          </w:p>
        </w:tc>
        <w:tc>
          <w:tcPr>
            <w:tcW w:w="1980" w:type="dxa"/>
          </w:tcPr>
          <w:p w14:paraId="3FB8CD50" w14:textId="77777777" w:rsidR="00126552" w:rsidRDefault="005A6E69">
            <w:pPr>
              <w:pStyle w:val="Compact"/>
            </w:pPr>
            <w:r>
              <w:t>“One who don’t know how to quit”; “Set their heart on freedom”</w:t>
            </w:r>
          </w:p>
        </w:tc>
        <w:tc>
          <w:tcPr>
            <w:tcW w:w="1980" w:type="dxa"/>
          </w:tcPr>
          <w:p w14:paraId="2FA95646" w14:textId="77777777" w:rsidR="00126552" w:rsidRDefault="005A6E69">
            <w:pPr>
              <w:pStyle w:val="Compact"/>
            </w:pPr>
            <w:r>
              <w:t xml:space="preserve">Defines the Bodhisattva by </w:t>
            </w:r>
            <w:r>
              <w:rPr>
                <w:i/>
                <w:iCs/>
              </w:rPr>
              <w:t>tenacity</w:t>
            </w:r>
            <w:r>
              <w:t xml:space="preserve"> (grit) and the collective goal of </w:t>
            </w:r>
            <w:r>
              <w:rPr>
                <w:i/>
                <w:iCs/>
              </w:rPr>
              <w:t>liberation</w:t>
            </w:r>
            <w:r>
              <w:t xml:space="preserve"> (freedom), echoing Civil Rights language.</w:t>
            </w:r>
          </w:p>
        </w:tc>
      </w:tr>
      <w:tr w:rsidR="00126552" w14:paraId="4774BCD3" w14:textId="77777777">
        <w:tc>
          <w:tcPr>
            <w:tcW w:w="1980" w:type="dxa"/>
          </w:tcPr>
          <w:p w14:paraId="7F7BFCF3" w14:textId="77777777" w:rsidR="00126552" w:rsidRDefault="005A6E69">
            <w:pPr>
              <w:pStyle w:val="Compact"/>
            </w:pPr>
            <w:r>
              <w:rPr>
                <w:b/>
                <w:bCs/>
              </w:rPr>
              <w:t>Tathāgata</w:t>
            </w:r>
            <w:r>
              <w:t xml:space="preserve"> (Rúlái)</w:t>
            </w:r>
          </w:p>
        </w:tc>
        <w:tc>
          <w:tcPr>
            <w:tcW w:w="1980" w:type="dxa"/>
          </w:tcPr>
          <w:p w14:paraId="52A3E459" w14:textId="77777777" w:rsidR="00126552" w:rsidRDefault="005A6E69">
            <w:pPr>
              <w:pStyle w:val="Compact"/>
            </w:pPr>
            <w:r>
              <w:t>Thus Come One / Thus Gone One</w:t>
            </w:r>
          </w:p>
        </w:tc>
        <w:tc>
          <w:tcPr>
            <w:tcW w:w="1980" w:type="dxa"/>
          </w:tcPr>
          <w:p w14:paraId="747BFDB9" w14:textId="77777777" w:rsidR="00126552" w:rsidRDefault="005A6E69">
            <w:pPr>
              <w:pStyle w:val="Compact"/>
            </w:pPr>
            <w:r>
              <w:t>“The One Who Comes Thus”; “The True One”</w:t>
            </w:r>
          </w:p>
        </w:tc>
        <w:tc>
          <w:tcPr>
            <w:tcW w:w="1980" w:type="dxa"/>
          </w:tcPr>
          <w:p w14:paraId="53C1A8C7" w14:textId="77777777" w:rsidR="00126552" w:rsidRDefault="005A6E69">
            <w:pPr>
              <w:pStyle w:val="Compact"/>
            </w:pPr>
            <w:r>
              <w:t xml:space="preserve">Retains the mystery of the “Thus” </w:t>
            </w:r>
            <w:r>
              <w:t>while emphasizing authenticity (“True”).</w:t>
            </w:r>
          </w:p>
        </w:tc>
      </w:tr>
      <w:tr w:rsidR="00126552" w14:paraId="182201B5" w14:textId="77777777">
        <w:tc>
          <w:tcPr>
            <w:tcW w:w="1980" w:type="dxa"/>
          </w:tcPr>
          <w:p w14:paraId="647CBF05" w14:textId="77777777" w:rsidR="00126552" w:rsidRDefault="005A6E69">
            <w:pPr>
              <w:pStyle w:val="Compact"/>
            </w:pPr>
            <w:r>
              <w:rPr>
                <w:b/>
                <w:bCs/>
              </w:rPr>
              <w:t>Kalpa</w:t>
            </w:r>
            <w:r>
              <w:t xml:space="preserve"> (Jié)</w:t>
            </w:r>
          </w:p>
        </w:tc>
        <w:tc>
          <w:tcPr>
            <w:tcW w:w="1980" w:type="dxa"/>
          </w:tcPr>
          <w:p w14:paraId="20B910E3" w14:textId="77777777" w:rsidR="00126552" w:rsidRDefault="005A6E69">
            <w:pPr>
              <w:pStyle w:val="Compact"/>
            </w:pPr>
            <w:r>
              <w:t>Eon / World-Age</w:t>
            </w:r>
          </w:p>
        </w:tc>
        <w:tc>
          <w:tcPr>
            <w:tcW w:w="1980" w:type="dxa"/>
          </w:tcPr>
          <w:p w14:paraId="76C9A7C8" w14:textId="77777777" w:rsidR="00126552" w:rsidRDefault="005A6E69">
            <w:pPr>
              <w:pStyle w:val="Compact"/>
            </w:pPr>
            <w:r>
              <w:t>“Time past counting”; “Ages beyond ages”</w:t>
            </w:r>
          </w:p>
        </w:tc>
        <w:tc>
          <w:tcPr>
            <w:tcW w:w="1980" w:type="dxa"/>
          </w:tcPr>
          <w:p w14:paraId="3136A343" w14:textId="77777777" w:rsidR="00126552" w:rsidRDefault="005A6E69">
            <w:pPr>
              <w:pStyle w:val="Compact"/>
            </w:pPr>
            <w:r>
              <w:t>Uses poetic repetition to convey vastness, typical of oral storytelling.</w:t>
            </w:r>
          </w:p>
        </w:tc>
      </w:tr>
      <w:tr w:rsidR="00126552" w14:paraId="2E9E744B" w14:textId="77777777">
        <w:tc>
          <w:tcPr>
            <w:tcW w:w="1980" w:type="dxa"/>
          </w:tcPr>
          <w:p w14:paraId="6BA8315A" w14:textId="77777777" w:rsidR="00126552" w:rsidRDefault="005A6E69">
            <w:pPr>
              <w:pStyle w:val="Compact"/>
            </w:pPr>
            <w:r>
              <w:rPr>
                <w:b/>
                <w:bCs/>
              </w:rPr>
              <w:t>Māra</w:t>
            </w:r>
            <w:r>
              <w:t xml:space="preserve"> (Mó)</w:t>
            </w:r>
          </w:p>
        </w:tc>
        <w:tc>
          <w:tcPr>
            <w:tcW w:w="1980" w:type="dxa"/>
          </w:tcPr>
          <w:p w14:paraId="2E7A372B" w14:textId="77777777" w:rsidR="00126552" w:rsidRDefault="005A6E69">
            <w:pPr>
              <w:pStyle w:val="Compact"/>
            </w:pPr>
            <w:r>
              <w:t>The Evil One / Demon / Tempter</w:t>
            </w:r>
          </w:p>
        </w:tc>
        <w:tc>
          <w:tcPr>
            <w:tcW w:w="1980" w:type="dxa"/>
          </w:tcPr>
          <w:p w14:paraId="21A32EA3" w14:textId="77777777" w:rsidR="00126552" w:rsidRDefault="005A6E69">
            <w:pPr>
              <w:pStyle w:val="Compact"/>
            </w:pPr>
            <w:r>
              <w:t>“The blue devils”; “The Evil One”</w:t>
            </w:r>
          </w:p>
        </w:tc>
        <w:tc>
          <w:tcPr>
            <w:tcW w:w="1980" w:type="dxa"/>
          </w:tcPr>
          <w:p w14:paraId="0C40D7AB" w14:textId="77777777" w:rsidR="00126552" w:rsidRDefault="005A6E69">
            <w:pPr>
              <w:pStyle w:val="Compact"/>
            </w:pPr>
            <w:r>
              <w:t>Directly connects Buddhist personification of temptation with the “blue devils” of Blues folklore (depression/melancholy).</w:t>
            </w:r>
          </w:p>
        </w:tc>
      </w:tr>
    </w:tbl>
    <w:p w14:paraId="0FE02B6E" w14:textId="77777777" w:rsidR="00126552" w:rsidRDefault="005A6E69">
      <w:pPr>
        <w:pStyle w:val="Heading3"/>
      </w:pPr>
      <w:bookmarkStart w:id="31" w:name="table-2-key-scholars-for-citation"/>
      <w:bookmarkEnd w:id="30"/>
      <w:r>
        <w:t>Table 2: Key Scholars for Citation</w:t>
      </w:r>
    </w:p>
    <w:tbl>
      <w:tblPr>
        <w:tblStyle w:val="Table"/>
        <w:tblW w:w="5000" w:type="pct"/>
        <w:tblLayout w:type="fixed"/>
        <w:tblLook w:val="0020" w:firstRow="1" w:lastRow="0" w:firstColumn="0" w:lastColumn="0" w:noHBand="0" w:noVBand="0"/>
      </w:tblPr>
      <w:tblGrid>
        <w:gridCol w:w="3192"/>
        <w:gridCol w:w="3192"/>
        <w:gridCol w:w="3192"/>
      </w:tblGrid>
      <w:tr w:rsidR="00126552" w14:paraId="629A9189" w14:textId="77777777" w:rsidTr="001265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EEC7B2" w14:textId="77777777" w:rsidR="00126552" w:rsidRDefault="005A6E69">
            <w:pPr>
              <w:pStyle w:val="Compact"/>
            </w:pPr>
            <w:r>
              <w:t>Scholar</w:t>
            </w:r>
          </w:p>
        </w:tc>
        <w:tc>
          <w:tcPr>
            <w:tcW w:w="2640" w:type="dxa"/>
          </w:tcPr>
          <w:p w14:paraId="546FBBFF" w14:textId="77777777" w:rsidR="00126552" w:rsidRDefault="005A6E69">
            <w:pPr>
              <w:pStyle w:val="Compact"/>
            </w:pPr>
            <w:r>
              <w:t>Field</w:t>
            </w:r>
          </w:p>
        </w:tc>
        <w:tc>
          <w:tcPr>
            <w:tcW w:w="2640" w:type="dxa"/>
          </w:tcPr>
          <w:p w14:paraId="5D8C18A6" w14:textId="77777777" w:rsidR="00126552" w:rsidRDefault="005A6E69">
            <w:pPr>
              <w:pStyle w:val="Compact"/>
            </w:pPr>
            <w:r>
              <w:t>Key Contribution to this Analysis</w:t>
            </w:r>
          </w:p>
        </w:tc>
      </w:tr>
      <w:tr w:rsidR="00126552" w14:paraId="6CB8E183" w14:textId="77777777">
        <w:tc>
          <w:tcPr>
            <w:tcW w:w="2640" w:type="dxa"/>
          </w:tcPr>
          <w:p w14:paraId="5ECE30ED" w14:textId="77777777" w:rsidR="00126552" w:rsidRDefault="005A6E69">
            <w:pPr>
              <w:pStyle w:val="Compact"/>
            </w:pPr>
            <w:r>
              <w:rPr>
                <w:b/>
                <w:bCs/>
              </w:rPr>
              <w:t>Eugene Nida</w:t>
            </w:r>
          </w:p>
        </w:tc>
        <w:tc>
          <w:tcPr>
            <w:tcW w:w="2640" w:type="dxa"/>
          </w:tcPr>
          <w:p w14:paraId="2737CD1D" w14:textId="77777777" w:rsidR="00126552" w:rsidRDefault="005A6E69">
            <w:pPr>
              <w:pStyle w:val="Compact"/>
            </w:pPr>
            <w:r>
              <w:t>Translation Studies</w:t>
            </w:r>
          </w:p>
        </w:tc>
        <w:tc>
          <w:tcPr>
            <w:tcW w:w="2640" w:type="dxa"/>
          </w:tcPr>
          <w:p w14:paraId="22C4A349" w14:textId="77777777" w:rsidR="00126552" w:rsidRDefault="005A6E69">
            <w:pPr>
              <w:pStyle w:val="Compact"/>
            </w:pPr>
            <w:r>
              <w:t xml:space="preserve">Theory of “Dynamic </w:t>
            </w:r>
            <w:r>
              <w:lastRenderedPageBreak/>
              <w:t>Equivalence” justifying vernacular adaptation for religious impact.</w:t>
            </w:r>
          </w:p>
        </w:tc>
      </w:tr>
      <w:tr w:rsidR="00126552" w14:paraId="39AB4CE0" w14:textId="77777777">
        <w:tc>
          <w:tcPr>
            <w:tcW w:w="2640" w:type="dxa"/>
          </w:tcPr>
          <w:p w14:paraId="0BB04F10" w14:textId="77777777" w:rsidR="00126552" w:rsidRDefault="005A6E69">
            <w:pPr>
              <w:pStyle w:val="Compact"/>
            </w:pPr>
            <w:r>
              <w:rPr>
                <w:b/>
                <w:bCs/>
              </w:rPr>
              <w:lastRenderedPageBreak/>
              <w:t>Lawrence Venuti</w:t>
            </w:r>
          </w:p>
        </w:tc>
        <w:tc>
          <w:tcPr>
            <w:tcW w:w="2640" w:type="dxa"/>
          </w:tcPr>
          <w:p w14:paraId="05D5BEA8" w14:textId="77777777" w:rsidR="00126552" w:rsidRDefault="005A6E69">
            <w:pPr>
              <w:pStyle w:val="Compact"/>
            </w:pPr>
            <w:r>
              <w:t>Translation Studies</w:t>
            </w:r>
          </w:p>
        </w:tc>
        <w:tc>
          <w:tcPr>
            <w:tcW w:w="2640" w:type="dxa"/>
          </w:tcPr>
          <w:p w14:paraId="73FFDC17" w14:textId="77777777" w:rsidR="00126552" w:rsidRDefault="005A6E69">
            <w:pPr>
              <w:pStyle w:val="Compact"/>
            </w:pPr>
            <w:r>
              <w:t>“Domestication vs. Foreignization” framework for analyzing the hybrid strategy of keeping Sanskrit names in AAVE syntax.</w:t>
            </w:r>
          </w:p>
        </w:tc>
      </w:tr>
      <w:tr w:rsidR="00126552" w14:paraId="10ADCF91" w14:textId="77777777">
        <w:tc>
          <w:tcPr>
            <w:tcW w:w="2640" w:type="dxa"/>
          </w:tcPr>
          <w:p w14:paraId="7BB10437" w14:textId="77777777" w:rsidR="00126552" w:rsidRDefault="005A6E69">
            <w:pPr>
              <w:pStyle w:val="Compact"/>
            </w:pPr>
            <w:r>
              <w:rPr>
                <w:b/>
                <w:bCs/>
              </w:rPr>
              <w:t>Albert Murray</w:t>
            </w:r>
          </w:p>
        </w:tc>
        <w:tc>
          <w:tcPr>
            <w:tcW w:w="2640" w:type="dxa"/>
          </w:tcPr>
          <w:p w14:paraId="50FB9FD3" w14:textId="77777777" w:rsidR="00126552" w:rsidRDefault="005A6E69">
            <w:pPr>
              <w:pStyle w:val="Compact"/>
            </w:pPr>
            <w:r>
              <w:t>African-American Studies</w:t>
            </w:r>
          </w:p>
        </w:tc>
        <w:tc>
          <w:tcPr>
            <w:tcW w:w="2640" w:type="dxa"/>
          </w:tcPr>
          <w:p w14:paraId="602F466E" w14:textId="77777777" w:rsidR="00126552" w:rsidRDefault="005A6E69">
            <w:pPr>
              <w:pStyle w:val="Compact"/>
            </w:pPr>
            <w:r>
              <w:t>Definition of “Blues Epistemology” as a tool for confronting entropy and suffering (</w:t>
            </w:r>
            <w:r>
              <w:rPr>
                <w:i/>
                <w:iCs/>
              </w:rPr>
              <w:t>Stomping the Blues</w:t>
            </w:r>
            <w:r>
              <w:t>).</w:t>
            </w:r>
          </w:p>
        </w:tc>
      </w:tr>
      <w:tr w:rsidR="00126552" w14:paraId="50BCB911" w14:textId="77777777">
        <w:tc>
          <w:tcPr>
            <w:tcW w:w="2640" w:type="dxa"/>
          </w:tcPr>
          <w:p w14:paraId="7700ACD6" w14:textId="77777777" w:rsidR="00126552" w:rsidRDefault="005A6E69">
            <w:pPr>
              <w:pStyle w:val="Compact"/>
            </w:pPr>
            <w:r>
              <w:rPr>
                <w:b/>
                <w:bCs/>
              </w:rPr>
              <w:t>Jan Willis</w:t>
            </w:r>
          </w:p>
        </w:tc>
        <w:tc>
          <w:tcPr>
            <w:tcW w:w="2640" w:type="dxa"/>
          </w:tcPr>
          <w:p w14:paraId="6FF392AA" w14:textId="77777777" w:rsidR="00126552" w:rsidRDefault="005A6E69">
            <w:pPr>
              <w:pStyle w:val="Compact"/>
            </w:pPr>
            <w:r>
              <w:t>Buddhist Studies</w:t>
            </w:r>
          </w:p>
        </w:tc>
        <w:tc>
          <w:tcPr>
            <w:tcW w:w="2640" w:type="dxa"/>
          </w:tcPr>
          <w:p w14:paraId="6E4E6670" w14:textId="77777777" w:rsidR="00126552" w:rsidRDefault="005A6E69">
            <w:pPr>
              <w:pStyle w:val="Compact"/>
            </w:pPr>
            <w:r>
              <w:t>Scholarship on “Black Buddhism” and the intersection of Baptist and Buddhist identities (</w:t>
            </w:r>
            <w:r>
              <w:rPr>
                <w:i/>
                <w:iCs/>
              </w:rPr>
              <w:t>Dreaming Me</w:t>
            </w:r>
            <w:r>
              <w:t>).</w:t>
            </w:r>
          </w:p>
        </w:tc>
      </w:tr>
      <w:tr w:rsidR="00126552" w14:paraId="68B2F641" w14:textId="77777777">
        <w:tc>
          <w:tcPr>
            <w:tcW w:w="2640" w:type="dxa"/>
          </w:tcPr>
          <w:p w14:paraId="7314AE0B" w14:textId="77777777" w:rsidR="00126552" w:rsidRDefault="005A6E69">
            <w:pPr>
              <w:pStyle w:val="Compact"/>
            </w:pPr>
            <w:r>
              <w:rPr>
                <w:b/>
                <w:bCs/>
              </w:rPr>
              <w:t>Kumārajīva</w:t>
            </w:r>
          </w:p>
        </w:tc>
        <w:tc>
          <w:tcPr>
            <w:tcW w:w="2640" w:type="dxa"/>
          </w:tcPr>
          <w:p w14:paraId="7B65D946" w14:textId="77777777" w:rsidR="00126552" w:rsidRDefault="005A6E69">
            <w:pPr>
              <w:pStyle w:val="Compact"/>
            </w:pPr>
            <w:r>
              <w:t>Buddhist History</w:t>
            </w:r>
          </w:p>
        </w:tc>
        <w:tc>
          <w:tcPr>
            <w:tcW w:w="2640" w:type="dxa"/>
          </w:tcPr>
          <w:p w14:paraId="0D4D473F" w14:textId="77777777" w:rsidR="00126552" w:rsidRDefault="005A6E69">
            <w:pPr>
              <w:pStyle w:val="Compact"/>
            </w:pPr>
            <w:r>
              <w:t>Historical precedent for “meaning-based” (</w:t>
            </w:r>
            <w:r>
              <w:rPr>
                <w:i/>
                <w:iCs/>
              </w:rPr>
              <w:t>yi</w:t>
            </w:r>
            <w:r>
              <w:t>) translation over literalism (</w:t>
            </w:r>
            <w:r>
              <w:rPr>
                <w:i/>
                <w:iCs/>
              </w:rPr>
              <w:t>wen</w:t>
            </w:r>
            <w:r>
              <w:t>); the “Patron Saint” of adaptive translation.</w:t>
            </w:r>
          </w:p>
        </w:tc>
      </w:tr>
      <w:tr w:rsidR="00126552" w14:paraId="4CA58A92" w14:textId="77777777">
        <w:tc>
          <w:tcPr>
            <w:tcW w:w="2640" w:type="dxa"/>
          </w:tcPr>
          <w:p w14:paraId="349E088F" w14:textId="77777777" w:rsidR="00126552" w:rsidRDefault="005A6E69">
            <w:pPr>
              <w:pStyle w:val="Compact"/>
            </w:pPr>
            <w:r>
              <w:rPr>
                <w:b/>
                <w:bCs/>
              </w:rPr>
              <w:t>Charles Johnson</w:t>
            </w:r>
          </w:p>
        </w:tc>
        <w:tc>
          <w:tcPr>
            <w:tcW w:w="2640" w:type="dxa"/>
          </w:tcPr>
          <w:p w14:paraId="2DBB33D6" w14:textId="77777777" w:rsidR="00126552" w:rsidRDefault="005A6E69">
            <w:pPr>
              <w:pStyle w:val="Compact"/>
            </w:pPr>
            <w:r>
              <w:t>Philosophy/Literature</w:t>
            </w:r>
          </w:p>
        </w:tc>
        <w:tc>
          <w:tcPr>
            <w:tcW w:w="2640" w:type="dxa"/>
          </w:tcPr>
          <w:p w14:paraId="01C06313" w14:textId="77777777" w:rsidR="00126552" w:rsidRDefault="005A6E69">
            <w:pPr>
              <w:pStyle w:val="Compact"/>
            </w:pPr>
            <w:r>
              <w:t xml:space="preserve">Theoretical work connecting Buddhist </w:t>
            </w:r>
            <w:r>
              <w:rPr>
                <w:i/>
                <w:iCs/>
              </w:rPr>
              <w:t>anatta</w:t>
            </w:r>
            <w:r>
              <w:t xml:space="preserve"> with Black identity reconstruction and phenomenology.</w:t>
            </w:r>
          </w:p>
        </w:tc>
      </w:tr>
      <w:tr w:rsidR="00126552" w14:paraId="3AB257D2" w14:textId="77777777">
        <w:tc>
          <w:tcPr>
            <w:tcW w:w="2640" w:type="dxa"/>
          </w:tcPr>
          <w:p w14:paraId="05C1E580" w14:textId="77777777" w:rsidR="00126552" w:rsidRDefault="005A6E69">
            <w:pPr>
              <w:pStyle w:val="Compact"/>
            </w:pPr>
            <w:r>
              <w:rPr>
                <w:b/>
                <w:bCs/>
              </w:rPr>
              <w:t>Amiri Baraka</w:t>
            </w:r>
          </w:p>
        </w:tc>
        <w:tc>
          <w:tcPr>
            <w:tcW w:w="2640" w:type="dxa"/>
          </w:tcPr>
          <w:p w14:paraId="7A8E1D8A" w14:textId="77777777" w:rsidR="00126552" w:rsidRDefault="005A6E69">
            <w:pPr>
              <w:pStyle w:val="Compact"/>
            </w:pPr>
            <w:r>
              <w:t>Cultural Criticism</w:t>
            </w:r>
          </w:p>
        </w:tc>
        <w:tc>
          <w:tcPr>
            <w:tcW w:w="2640" w:type="dxa"/>
          </w:tcPr>
          <w:p w14:paraId="39102042" w14:textId="77777777" w:rsidR="00126552" w:rsidRDefault="005A6E69">
            <w:pPr>
              <w:pStyle w:val="Compact"/>
            </w:pPr>
            <w:r>
              <w:t xml:space="preserve">Theory of “Blues People” </w:t>
            </w:r>
            <w:r>
              <w:t>as the authentic carriers of African-American consciousness.</w:t>
            </w:r>
          </w:p>
        </w:tc>
      </w:tr>
      <w:tr w:rsidR="00126552" w14:paraId="780EAFCE" w14:textId="77777777">
        <w:tc>
          <w:tcPr>
            <w:tcW w:w="2640" w:type="dxa"/>
          </w:tcPr>
          <w:p w14:paraId="66DFF6F1" w14:textId="77777777" w:rsidR="00126552" w:rsidRDefault="005A6E69">
            <w:pPr>
              <w:pStyle w:val="Compact"/>
            </w:pPr>
            <w:r>
              <w:rPr>
                <w:b/>
                <w:bCs/>
              </w:rPr>
              <w:t>James Cone</w:t>
            </w:r>
          </w:p>
        </w:tc>
        <w:tc>
          <w:tcPr>
            <w:tcW w:w="2640" w:type="dxa"/>
          </w:tcPr>
          <w:p w14:paraId="39116BB8" w14:textId="77777777" w:rsidR="00126552" w:rsidRDefault="005A6E69">
            <w:pPr>
              <w:pStyle w:val="Compact"/>
            </w:pPr>
            <w:r>
              <w:t>Theology</w:t>
            </w:r>
          </w:p>
        </w:tc>
        <w:tc>
          <w:tcPr>
            <w:tcW w:w="2640" w:type="dxa"/>
          </w:tcPr>
          <w:p w14:paraId="6C5E4875" w14:textId="77777777" w:rsidR="00126552" w:rsidRDefault="005A6E69">
            <w:pPr>
              <w:pStyle w:val="Compact"/>
            </w:pPr>
            <w:r>
              <w:t>Black Liberation Theology; connecting the “Suffering Servant” to the Black experience (parallel to Bodhisattva suffering).</w:t>
            </w:r>
          </w:p>
        </w:tc>
      </w:tr>
      <w:tr w:rsidR="00126552" w14:paraId="18940723" w14:textId="77777777">
        <w:tc>
          <w:tcPr>
            <w:tcW w:w="2640" w:type="dxa"/>
          </w:tcPr>
          <w:p w14:paraId="667B630D" w14:textId="77777777" w:rsidR="00126552" w:rsidRDefault="005A6E69">
            <w:pPr>
              <w:pStyle w:val="Compact"/>
            </w:pPr>
            <w:r>
              <w:rPr>
                <w:b/>
                <w:bCs/>
              </w:rPr>
              <w:t>Ralph Ellison</w:t>
            </w:r>
          </w:p>
        </w:tc>
        <w:tc>
          <w:tcPr>
            <w:tcW w:w="2640" w:type="dxa"/>
          </w:tcPr>
          <w:p w14:paraId="2693D53F" w14:textId="77777777" w:rsidR="00126552" w:rsidRDefault="005A6E69">
            <w:pPr>
              <w:pStyle w:val="Compact"/>
            </w:pPr>
            <w:r>
              <w:t>Literature</w:t>
            </w:r>
          </w:p>
        </w:tc>
        <w:tc>
          <w:tcPr>
            <w:tcW w:w="2640" w:type="dxa"/>
          </w:tcPr>
          <w:p w14:paraId="10689E77" w14:textId="77777777" w:rsidR="00126552" w:rsidRDefault="005A6E69">
            <w:pPr>
              <w:pStyle w:val="Compact"/>
            </w:pPr>
            <w:r>
              <w:t xml:space="preserve">Definition of the Blues as an impulse to “finger the jagged grain” of experience </w:t>
            </w:r>
            <w:r>
              <w:lastRenderedPageBreak/>
              <w:t>(mindfulness of suffering).</w:t>
            </w:r>
          </w:p>
        </w:tc>
      </w:tr>
      <w:tr w:rsidR="00126552" w14:paraId="50175CC3" w14:textId="77777777">
        <w:tc>
          <w:tcPr>
            <w:tcW w:w="2640" w:type="dxa"/>
          </w:tcPr>
          <w:p w14:paraId="01E27D45" w14:textId="77777777" w:rsidR="00126552" w:rsidRDefault="005A6E69">
            <w:pPr>
              <w:pStyle w:val="Compact"/>
            </w:pPr>
            <w:r>
              <w:rPr>
                <w:b/>
                <w:bCs/>
              </w:rPr>
              <w:lastRenderedPageBreak/>
              <w:t>Bell Hooks</w:t>
            </w:r>
          </w:p>
        </w:tc>
        <w:tc>
          <w:tcPr>
            <w:tcW w:w="2640" w:type="dxa"/>
          </w:tcPr>
          <w:p w14:paraId="68EC7257" w14:textId="77777777" w:rsidR="00126552" w:rsidRDefault="005A6E69">
            <w:pPr>
              <w:pStyle w:val="Compact"/>
            </w:pPr>
            <w:r>
              <w:t>Cultural Criticism</w:t>
            </w:r>
          </w:p>
        </w:tc>
        <w:tc>
          <w:tcPr>
            <w:tcW w:w="2640" w:type="dxa"/>
          </w:tcPr>
          <w:p w14:paraId="51EB6F3D" w14:textId="77777777" w:rsidR="00126552" w:rsidRDefault="005A6E69">
            <w:pPr>
              <w:pStyle w:val="Compact"/>
            </w:pPr>
            <w:r>
              <w:t>Writing on “Love” and “Community” (Sangha) as resistance; integrating Buddhism with Black feminism.</w:t>
            </w:r>
          </w:p>
        </w:tc>
      </w:tr>
    </w:tbl>
    <w:p w14:paraId="2B4E8A5F" w14:textId="77777777" w:rsidR="00126552" w:rsidRDefault="00DD6079">
      <w:r>
        <w:rPr>
          <w:noProof/>
        </w:rPr>
      </w:r>
      <w:r w:rsidR="00DD6079">
        <w:rPr>
          <w:noProof/>
        </w:rPr>
        <w:pict w14:anchorId="2A82DC1C">
          <v:rect id="_x0000_i1028" alt="" style="width:468pt;height:.05pt;mso-width-percent:0;mso-height-percent:0;mso-width-percent:0;mso-height-percent:0" o:hralign="center" o:hrstd="t" o:hr="t"/>
        </w:pict>
      </w:r>
    </w:p>
    <w:p w14:paraId="7F1F16B4" w14:textId="77777777" w:rsidR="00126552" w:rsidRDefault="005A6E69">
      <w:pPr>
        <w:pStyle w:val="Heading2"/>
      </w:pPr>
      <w:bookmarkStart w:id="32" w:name="disclosure-statement"/>
      <w:bookmarkEnd w:id="31"/>
      <w:bookmarkEnd w:id="29"/>
      <w:r>
        <w:t>Disclosure Statement</w:t>
      </w:r>
    </w:p>
    <w:p w14:paraId="66B7006F" w14:textId="77777777" w:rsidR="00126552" w:rsidRDefault="005A6E69">
      <w:pPr>
        <w:pStyle w:val="FirstParagraph"/>
      </w:pPr>
      <w:r>
        <w:t>The author reports there are no competing interests to declare.</w:t>
      </w:r>
    </w:p>
    <w:p w14:paraId="159884B5" w14:textId="77777777" w:rsidR="00126552" w:rsidRDefault="00DD6079">
      <w:r>
        <w:rPr>
          <w:noProof/>
        </w:rPr>
      </w:r>
      <w:r w:rsidR="00DD6079">
        <w:rPr>
          <w:noProof/>
        </w:rPr>
        <w:pict w14:anchorId="14D32F13">
          <v:rect id="_x0000_i1029" alt="" style="width:468pt;height:.05pt;mso-width-percent:0;mso-height-percent:0;mso-width-percent:0;mso-height-percent:0" o:hralign="center" o:hrstd="t" o:hr="t"/>
        </w:pict>
      </w:r>
    </w:p>
    <w:p w14:paraId="1727DA30" w14:textId="77777777" w:rsidR="00126552" w:rsidRDefault="005A6E69">
      <w:pPr>
        <w:pStyle w:val="Heading2"/>
      </w:pPr>
      <w:bookmarkStart w:id="33" w:name="generative-ai-disclosure"/>
      <w:bookmarkEnd w:id="32"/>
      <w:r>
        <w:t>Generative AI Disclosure</w:t>
      </w:r>
    </w:p>
    <w:p w14:paraId="6EEA3362" w14:textId="77777777" w:rsidR="00126552" w:rsidRDefault="005A6E69">
      <w:pPr>
        <w:pStyle w:val="FirstParagraph"/>
      </w:pPr>
      <w:r>
        <w:t xml:space="preserve">This article was prepared with assistance from generative AI tools. Google Gemini (December 2024) was used to generate an initial analytical framework for the article. The Blues translation of the </w:t>
      </w:r>
      <w:r>
        <w:rPr>
          <w:i/>
          <w:iCs/>
        </w:rPr>
        <w:t>Lotus Sutra</w:t>
      </w:r>
      <w:r>
        <w:t xml:space="preserve"> analyzed in this article was created using a multi-agent workflow involving Anthropic Claude (version 4.5) operating as specialized translation agents. The author directed, curated, and revised all AI-generated content. The translation methodology is described in detail in a separate article under review.</w:t>
      </w:r>
    </w:p>
    <w:p w14:paraId="29C22F8A" w14:textId="77777777" w:rsidR="00126552" w:rsidRDefault="00DD6079">
      <w:r>
        <w:rPr>
          <w:noProof/>
        </w:rPr>
      </w:r>
      <w:r w:rsidR="00DD6079">
        <w:rPr>
          <w:noProof/>
        </w:rPr>
        <w:pict w14:anchorId="11C46CA8">
          <v:rect id="_x0000_i1030" alt="" style="width:468pt;height:.05pt;mso-width-percent:0;mso-height-percent:0;mso-width-percent:0;mso-height-percent:0" o:hralign="center" o:hrstd="t" o:hr="t"/>
        </w:pict>
      </w:r>
    </w:p>
    <w:p w14:paraId="19A67B0E" w14:textId="77777777" w:rsidR="00126552" w:rsidRDefault="005A6E69">
      <w:pPr>
        <w:pStyle w:val="Heading2"/>
      </w:pPr>
      <w:bookmarkStart w:id="34" w:name="references"/>
      <w:bookmarkEnd w:id="33"/>
      <w:r>
        <w:t>References</w:t>
      </w:r>
    </w:p>
    <w:p w14:paraId="22CB8B39" w14:textId="77777777" w:rsidR="00126552" w:rsidRDefault="005A6E69">
      <w:pPr>
        <w:pStyle w:val="FirstParagraph"/>
      </w:pPr>
      <w:r>
        <w:t xml:space="preserve">[Author]. 2025. </w:t>
      </w:r>
      <w:r>
        <w:rPr>
          <w:i/>
          <w:iCs/>
        </w:rPr>
        <w:t>The Lotus Sutra: A Blues Interpretation</w:t>
      </w:r>
      <w:r>
        <w:t>. Unpublished manuscript.</w:t>
      </w:r>
    </w:p>
    <w:p w14:paraId="75A8D9F4" w14:textId="77777777" w:rsidR="00126552" w:rsidRDefault="005A6E69">
      <w:pPr>
        <w:pStyle w:val="BodyText"/>
      </w:pPr>
      <w:r>
        <w:t xml:space="preserve">Baraka, Amiri (LeRoi Jones). 1963. </w:t>
      </w:r>
      <w:r>
        <w:rPr>
          <w:i/>
          <w:iCs/>
        </w:rPr>
        <w:t>Blues People: Negro Music in White America</w:t>
      </w:r>
      <w:r>
        <w:t>. New York: William Morrow.</w:t>
      </w:r>
    </w:p>
    <w:p w14:paraId="69BE5415" w14:textId="77777777" w:rsidR="00126552" w:rsidRDefault="005A6E69">
      <w:pPr>
        <w:pStyle w:val="BodyText"/>
      </w:pPr>
      <w:r>
        <w:t xml:space="preserve">Clark, Kiley Jon. 2015. “Street Dharma: Buddhism in Urban America.” </w:t>
      </w:r>
      <w:r>
        <w:rPr>
          <w:i/>
          <w:iCs/>
        </w:rPr>
        <w:t>Lion’s Roar</w:t>
      </w:r>
      <w:r>
        <w:t>, accessed December 12, 2025. https://www.lionsroar.com/journeys-the-real-rodeo/</w:t>
      </w:r>
    </w:p>
    <w:p w14:paraId="45AC9FCA" w14:textId="77777777" w:rsidR="00126552" w:rsidRDefault="005A6E69">
      <w:pPr>
        <w:pStyle w:val="BodyText"/>
      </w:pPr>
      <w:r>
        <w:t xml:space="preserve">Cone, James H. 1970. </w:t>
      </w:r>
      <w:r>
        <w:rPr>
          <w:i/>
          <w:iCs/>
        </w:rPr>
        <w:t>A Black Theology of Liberation</w:t>
      </w:r>
      <w:r>
        <w:t>. Philadelphia: Lippincott.</w:t>
      </w:r>
    </w:p>
    <w:p w14:paraId="0A7AF362" w14:textId="77777777" w:rsidR="00126552" w:rsidRDefault="005A6E69">
      <w:pPr>
        <w:pStyle w:val="BodyText"/>
      </w:pPr>
      <w:r>
        <w:t xml:space="preserve">Ellison, Ralph. 1964. </w:t>
      </w:r>
      <w:r>
        <w:rPr>
          <w:i/>
          <w:iCs/>
        </w:rPr>
        <w:t>Shadow and Act</w:t>
      </w:r>
      <w:r>
        <w:t>. New York: Random House.</w:t>
      </w:r>
    </w:p>
    <w:p w14:paraId="29D7B8C4" w14:textId="77777777" w:rsidR="00126552" w:rsidRDefault="005A6E69">
      <w:pPr>
        <w:pStyle w:val="BodyText"/>
      </w:pPr>
      <w:r>
        <w:t xml:space="preserve">Hua, Manyuan. 2018. “Reinterpreting The Wén-Zhì Debate in the Education of Translation History with special reference to Sutra Translator Xuan Zang in Tang Dynasty.” </w:t>
      </w:r>
      <w:r>
        <w:rPr>
          <w:i/>
          <w:iCs/>
        </w:rPr>
        <w:t>International Journal of Languages, Literature and Linguistics</w:t>
      </w:r>
      <w:r>
        <w:t xml:space="preserve"> 4 (4): 277–283.</w:t>
      </w:r>
    </w:p>
    <w:p w14:paraId="53D7F997" w14:textId="77777777" w:rsidR="00126552" w:rsidRDefault="005A6E69">
      <w:pPr>
        <w:pStyle w:val="BodyText"/>
      </w:pPr>
      <w:r>
        <w:lastRenderedPageBreak/>
        <w:t xml:space="preserve">Hureau, Sylvie. 2010. “Translations, Apocrypha, and the Emergence of the Buddhist Canon.” In </w:t>
      </w:r>
      <w:r>
        <w:rPr>
          <w:i/>
          <w:iCs/>
        </w:rPr>
        <w:t>Early Chinese Religion, Part Two: The Period of Division (220–589 AD)</w:t>
      </w:r>
      <w:r>
        <w:t>, edited by John Lagerwey and Lü Pengzhi, 741–774. Leiden: Brill.</w:t>
      </w:r>
    </w:p>
    <w:p w14:paraId="1F8EED26" w14:textId="77777777" w:rsidR="00126552" w:rsidRDefault="005A6E69">
      <w:pPr>
        <w:pStyle w:val="BodyText"/>
      </w:pPr>
      <w:r>
        <w:t xml:space="preserve">Johnson, Charles. 2003. </w:t>
      </w:r>
      <w:r>
        <w:rPr>
          <w:i/>
          <w:iCs/>
        </w:rPr>
        <w:t>Turning the Wheel: Essays on Buddhism and Writing</w:t>
      </w:r>
      <w:r>
        <w:t>. New York: Scribner.</w:t>
      </w:r>
    </w:p>
    <w:p w14:paraId="492C95BC" w14:textId="77777777" w:rsidR="00126552" w:rsidRDefault="005A6E69">
      <w:pPr>
        <w:pStyle w:val="BodyText"/>
      </w:pPr>
      <w:r>
        <w:t xml:space="preserve">Kinkead, April Leigh. 2015. </w:t>
      </w:r>
      <w:r>
        <w:t>“Black Rhetoric: The Art of Thinking Being.” PhD diss., University of Texas at Arlington.</w:t>
      </w:r>
    </w:p>
    <w:p w14:paraId="4E791959" w14:textId="77777777" w:rsidR="00126552" w:rsidRDefault="005A6E69">
      <w:pPr>
        <w:pStyle w:val="BodyText"/>
      </w:pPr>
      <w:r>
        <w:t xml:space="preserve">Murray, Albert. 1976. </w:t>
      </w:r>
      <w:r>
        <w:rPr>
          <w:i/>
          <w:iCs/>
        </w:rPr>
        <w:t>Stomping the Blues</w:t>
      </w:r>
      <w:r>
        <w:t>. New York: McGraw-Hill.</w:t>
      </w:r>
    </w:p>
    <w:p w14:paraId="16CE532F" w14:textId="77777777" w:rsidR="00126552" w:rsidRDefault="005A6E69">
      <w:pPr>
        <w:pStyle w:val="BodyText"/>
      </w:pPr>
      <w:r>
        <w:t xml:space="preserve">Nida, Eugene A. 1964. </w:t>
      </w:r>
      <w:r>
        <w:rPr>
          <w:i/>
          <w:iCs/>
        </w:rPr>
        <w:t>Toward a Science of Translating: With Special Reference to Principles and Procedures Involved in Bible Translating</w:t>
      </w:r>
      <w:r>
        <w:t>. Leiden: Brill.</w:t>
      </w:r>
    </w:p>
    <w:p w14:paraId="045A027A" w14:textId="77777777" w:rsidR="00126552" w:rsidRDefault="005A6E69">
      <w:pPr>
        <w:pStyle w:val="BodyText"/>
      </w:pPr>
      <w:r>
        <w:t xml:space="preserve">Nida, Eugene A., and Charles R. Taber. 1969. </w:t>
      </w:r>
      <w:r>
        <w:rPr>
          <w:i/>
          <w:iCs/>
        </w:rPr>
        <w:t>The Theory and Practice of Translation</w:t>
      </w:r>
      <w:r>
        <w:t>. Leiden: Brill.</w:t>
      </w:r>
    </w:p>
    <w:p w14:paraId="0C1DB1FA" w14:textId="77777777" w:rsidR="00126552" w:rsidRDefault="005A6E69">
      <w:pPr>
        <w:pStyle w:val="BodyText"/>
      </w:pPr>
      <w:r>
        <w:t xml:space="preserve">Norman, K. R. 1983. </w:t>
      </w:r>
      <w:r>
        <w:rPr>
          <w:i/>
          <w:iCs/>
        </w:rPr>
        <w:t>Pāli Literature: Including the Canonical Literature in Prakrit and Sanskrit of All the Hīnayāna Schools of Buddhism</w:t>
      </w:r>
      <w:r>
        <w:t>. Wiesbaden: Otto Harrassowitz.</w:t>
      </w:r>
    </w:p>
    <w:p w14:paraId="6A418B60" w14:textId="77777777" w:rsidR="00126552" w:rsidRDefault="005A6E69">
      <w:pPr>
        <w:pStyle w:val="BodyText"/>
      </w:pPr>
      <w:r>
        <w:t xml:space="preserve">Oliver, Paul. 1990. </w:t>
      </w:r>
      <w:r>
        <w:rPr>
          <w:i/>
          <w:iCs/>
        </w:rPr>
        <w:t>Blues Fell This Morning: Meaning in the Blues</w:t>
      </w:r>
      <w:r>
        <w:t>. 2nd ed. Cambridge: Cambridge University Press.</w:t>
      </w:r>
    </w:p>
    <w:p w14:paraId="6F8CCD9F" w14:textId="77777777" w:rsidR="00126552" w:rsidRDefault="005A6E69">
      <w:pPr>
        <w:pStyle w:val="BodyText"/>
      </w:pPr>
      <w:r>
        <w:t xml:space="preserve">Sea Island Translation Team. 2005. </w:t>
      </w:r>
      <w:r>
        <w:rPr>
          <w:i/>
          <w:iCs/>
        </w:rPr>
        <w:t>De Nyew Testament</w:t>
      </w:r>
      <w:r>
        <w:t>. New York: American Bible Society.</w:t>
      </w:r>
    </w:p>
    <w:p w14:paraId="07B92E3F" w14:textId="77777777" w:rsidR="00126552" w:rsidRDefault="005A6E69">
      <w:pPr>
        <w:pStyle w:val="BodyText"/>
      </w:pPr>
      <w:r>
        <w:t>Steinfeld, Susanna. 2016. “The Social Significance of Blues Music.” Master’s thesis, LUISS Guido Carli University.</w:t>
      </w:r>
    </w:p>
    <w:p w14:paraId="662FE680" w14:textId="77777777" w:rsidR="00126552" w:rsidRDefault="005A6E69">
      <w:pPr>
        <w:pStyle w:val="BodyText"/>
      </w:pPr>
      <w:r>
        <w:t xml:space="preserve">Venuti, Lawrence. 1995. </w:t>
      </w:r>
      <w:r>
        <w:rPr>
          <w:i/>
          <w:iCs/>
        </w:rPr>
        <w:t>The Translator’s Invisibility: A History of Translation</w:t>
      </w:r>
      <w:r>
        <w:t>. London: Routledge.</w:t>
      </w:r>
    </w:p>
    <w:p w14:paraId="56AA9E81" w14:textId="77777777" w:rsidR="00126552" w:rsidRDefault="005A6E69">
      <w:pPr>
        <w:pStyle w:val="BodyText"/>
      </w:pPr>
      <w:r>
        <w:t xml:space="preserve">Willis, Jan. 2001. </w:t>
      </w:r>
      <w:r>
        <w:rPr>
          <w:i/>
          <w:iCs/>
        </w:rPr>
        <w:t>Dreaming Me: Black, Baptist, and Buddhist—One Woman’s Spiritual Journey</w:t>
      </w:r>
      <w:r>
        <w:t>. New York: Riverhead Books.</w:t>
      </w:r>
    </w:p>
    <w:bookmarkEnd w:id="34"/>
    <w:bookmarkEnd w:id="0"/>
    <w:sectPr w:rsidR="001265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A296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5654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7399677">
    <w:abstractNumId w:val="0"/>
  </w:num>
  <w:num w:numId="2" w16cid:durableId="353843627">
    <w:abstractNumId w:val="1"/>
  </w:num>
  <w:num w:numId="3" w16cid:durableId="987636683">
    <w:abstractNumId w:val="1"/>
  </w:num>
  <w:num w:numId="4" w16cid:durableId="2017147268">
    <w:abstractNumId w:val="1"/>
  </w:num>
  <w:num w:numId="5" w16cid:durableId="1118066733">
    <w:abstractNumId w:val="1"/>
  </w:num>
  <w:num w:numId="6" w16cid:durableId="112945658">
    <w:abstractNumId w:val="1"/>
  </w:num>
  <w:num w:numId="7" w16cid:durableId="2060661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26552"/>
    <w:rsid w:val="00126552"/>
    <w:rsid w:val="005A6E69"/>
    <w:rsid w:val="00DD6079"/>
    <w:rsid w:val="00F7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E61D71C"/>
  <w15:docId w15:val="{F86A5794-9928-E046-8E05-30901720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5494</Words>
  <Characters>31232</Characters>
  <Application>Microsoft Office Word</Application>
  <DocSecurity>0</DocSecurity>
  <Lines>655</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2025-12-13T00:09:00Z</dcterms:created>
  <dcterms:modified xsi:type="dcterms:W3CDTF">2025-12-13T00:58:00Z</dcterms:modified>
</cp:coreProperties>
</file>