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648eea9ab921f015c70934ef0b87127229d554"/>
    <w:p>
      <w:pPr>
        <w:pStyle w:val="Heading1"/>
      </w:pPr>
      <w:r>
        <w:t xml:space="preserve">The Dharma Sings the Blues: A Comprehensive Scholarly Analysis of Vernacular Buddhist Translation through the Lens of the Blues Idiom</w:t>
      </w:r>
    </w:p>
    <w:p>
      <w:pPr>
        <w:pStyle w:val="FirstParagraph"/>
      </w:pPr>
      <w:r>
        <w:rPr>
          <w:b/>
          <w:bCs/>
        </w:rPr>
        <w:t xml:space="preserve">William Altig</w:t>
      </w:r>
      <w:r>
        <w:t xml:space="preserve"> </w:t>
      </w:r>
      <w:r>
        <w:t xml:space="preserve">Independent Scholar</w:t>
      </w:r>
      <w:r>
        <w:t xml:space="preserve"> </w:t>
      </w:r>
      <w:r>
        <w:t xml:space="preserve">Houston, TX</w:t>
      </w:r>
      <w:r>
        <w:t xml:space="preserve"> </w:t>
      </w:r>
      <w:r>
        <w:t xml:space="preserve">Email: dwaltig@gmail.com</w:t>
      </w:r>
    </w:p>
    <w:p>
      <w:pPr>
        <w:pStyle w:val="BodyText"/>
      </w:pPr>
      <w:r>
        <w:rPr>
          <w:b/>
          <w:bCs/>
        </w:rPr>
        <w:t xml:space="preserve">Word Count:</w:t>
      </w:r>
      <w:r>
        <w:t xml:space="preserve"> </w:t>
      </w:r>
      <w:r>
        <w:t xml:space="preserve">6,027</w:t>
      </w:r>
    </w:p>
    <w:p>
      <w:r>
        <w:pict>
          <v:rect style="width:0;height:1.5pt" o:hralign="center" o:hrstd="t" o:hr="t"/>
        </w:pict>
      </w:r>
    </w:p>
    <w:bookmarkStart w:id="9"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Blues Vernacular. Drawing on translation theory, Blues philosophy, and scholarship on the inculturation of American Buddhism—, and —the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analyzing specific translation choices—such as rendering</w:t>
      </w:r>
      <w:r>
        <w:t xml:space="preserve"> </w:t>
      </w:r>
      <w:r>
        <w:rPr>
          <w:i/>
          <w:iCs/>
        </w:rPr>
        <w:t xml:space="preserve">Upāya</w:t>
      </w:r>
      <w:r>
        <w:t xml:space="preserve"> </w:t>
      </w:r>
      <w:r>
        <w:t xml:space="preserve">as</w:t>
      </w:r>
      <w:r>
        <w:t xml:space="preserve"> </w:t>
      </w:r>
      <w:r>
        <w:t xml:space="preserve">“Loving Tricks”</w:t>
      </w:r>
      <w:r>
        <w:t xml:space="preserve"> </w:t>
      </w:r>
      <w:r>
        <w:t xml:space="preserve">and</w:t>
      </w:r>
      <w:r>
        <w:t xml:space="preserve"> </w:t>
      </w:r>
      <w:r>
        <w:rPr>
          <w:i/>
          <w:iCs/>
        </w:rPr>
        <w:t xml:space="preserve">Nirvana</w:t>
      </w:r>
      <w:r>
        <w:t xml:space="preserve"> </w:t>
      </w:r>
      <w:r>
        <w:t xml:space="preserve">as</w:t>
      </w:r>
      <w:r>
        <w:t xml:space="preserve"> </w:t>
      </w:r>
      <w:r>
        <w:t xml:space="preserve">“The Cool”</w:t>
      </w:r>
      <w:r>
        <w:t xml:space="preserve">—this article demonstrates that the Blues idiom functions not merely as a dialect but as a rigorous hermeneutical framework. It proposes that the Blues, with its unique phenomenology of suffering and transcendence, captures Mahayana soteriology more effectively than standard</w:t>
      </w:r>
      <w:r>
        <w:t xml:space="preserve"> </w:t>
      </w:r>
      <w:r>
        <w:t xml:space="preserve">“Protestantized”</w:t>
      </w:r>
      <w:r>
        <w:t xml:space="preserve"> </w:t>
      </w:r>
      <w:r>
        <w:t xml:space="preserve">English translations.</w:t>
      </w:r>
    </w:p>
    <w:p>
      <w:pPr>
        <w:pStyle w:val="BodyText"/>
      </w:pPr>
      <w:r>
        <w:rPr>
          <w:b/>
          <w:bCs/>
        </w:rPr>
        <w:t xml:space="preserve">Keywords:</w:t>
      </w:r>
      <w:r>
        <w:t xml:space="preserve"> </w:t>
      </w:r>
      <w:r>
        <w:t xml:space="preserve">Lotus Sutra, vernacular translation, 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9"/>
    <w:bookmarkStart w:id="10"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p>
    <w:p>
      <w:pPr>
        <w:pStyle w:val="BodyText"/>
      </w:pPr>
      <w:r>
        <w:t xml:space="preserve">I analyze this work through the multiple lenses of translation studies, 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Blues tradition not merely as a subject of sociological inquiry, but as a locus of theological and philosophical authority capable of holding and illuminating the deepest truths of the Buddhist tradition.</w:t>
      </w:r>
    </w:p>
    <w:bookmarkEnd w:id="10"/>
    <w:bookmarkStart w:id="14"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11"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 (Zürcher 2007).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p>
    <w:bookmarkEnd w:id="11"/>
    <w:bookmarkStart w:id="12"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it uses culturally resonant imagery to replicate the original text’s soteriological impact.</w:t>
      </w:r>
    </w:p>
    <w:bookmarkEnd w:id="12"/>
    <w:bookmarkStart w:id="13"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13"/>
    <w:bookmarkEnd w:id="14"/>
    <w:bookmarkStart w:id="19"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15"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15"/>
    <w:bookmarkStart w:id="16"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16"/>
    <w:bookmarkStart w:id="17"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17"/>
    <w:bookmarkStart w:id="18"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18"/>
    <w:bookmarkEnd w:id="19"/>
    <w:bookmarkStart w:id="26" w:name="textual-analysis-the-blues-lotus-sutra"/>
    <w:p>
      <w:pPr>
        <w:pStyle w:val="Heading2"/>
      </w:pPr>
      <w:r>
        <w:t xml:space="preserve">4. Textual Analysis: The Blues Lotus Sutra</w:t>
      </w:r>
    </w:p>
    <w:p>
      <w:pPr>
        <w:pStyle w:val="FirstParagraph"/>
      </w:pPr>
      <w:r>
        <w:t xml:space="preserve">A close reading of the specific translation choices reveals how the text bridges Classical Chinese concepts with Blues imagery, creating a hermeneutic that is both textually rigorous and culturally resonant.</w:t>
      </w:r>
    </w:p>
    <w:bookmarkStart w:id="20" w:name="Xa1e60b31b8df3943e462f6261ad249f97a3a841"/>
    <w:p>
      <w:pPr>
        <w:pStyle w:val="Heading3"/>
      </w:pPr>
      <w:r>
        <w:t xml:space="preserve">4.1 The Assembly:</w:t>
      </w:r>
      <w:r>
        <w:t xml:space="preserve"> </w:t>
      </w:r>
      <w:r>
        <w:t xml:space="preserve">“Brothers Who’d Made It Through”</w:t>
      </w:r>
    </w:p>
    <w:p>
      <w:pPr>
        <w:pStyle w:val="FirstParagraph"/>
      </w:pPr>
      <w:r>
        <w:t xml:space="preserve">The sutra opens with the standard assembly of 12,000 Arhats, a moment where the Blues translation immediately signals its departure from convention. Rather than employing the technical term</w:t>
      </w:r>
      <w:r>
        <w:t xml:space="preserve"> </w:t>
      </w:r>
      <w:r>
        <w:t xml:space="preserve">“Arhat”</w:t>
      </w:r>
      <w:r>
        <w:t xml:space="preserve"> </w:t>
      </w:r>
      <w:r>
        <w:t xml:space="preserve">or the dry</w:t>
      </w:r>
      <w:r>
        <w:t xml:space="preserve"> </w:t>
      </w:r>
      <w:r>
        <w:t xml:space="preserve">“Worthy One,”</w:t>
      </w:r>
      <w:r>
        <w:t xml:space="preserve"> </w:t>
      </w:r>
      <w:r>
        <w:t xml:space="preserve">the text introduces them as</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w:t>
      </w:r>
    </w:p>
    <w:p>
      <w:pPr>
        <w:pStyle w:val="BodyText"/>
      </w:pPr>
      <w:r>
        <w:t xml:space="preserve">This phrasing resonates deeply with the</w:t>
      </w:r>
      <w:r>
        <w:t xml:space="preserve"> </w:t>
      </w:r>
      <w:r>
        <w:rPr>
          <w:b/>
          <w:bCs/>
        </w:rPr>
        <w:t xml:space="preserve">Blues spiritual tradition</w:t>
      </w:r>
      <w:r>
        <w:t xml:space="preserve"> </w:t>
      </w:r>
      <w:r>
        <w:t xml:space="preserve">of</w:t>
      </w:r>
      <w:r>
        <w:t xml:space="preserve"> </w:t>
      </w:r>
      <w:r>
        <w:t xml:space="preserve">“making it over”</w:t>
      </w:r>
      <w:r>
        <w:t xml:space="preserve">—crossing the Jordan, surviving the rigors of oppression. By framing the Arhat not merely as a saint but as a survivor, the translation emphasizes the struggle inherent in the path. The description of them having</w:t>
      </w:r>
      <w:r>
        <w:t xml:space="preserve"> </w:t>
      </w:r>
      <w:r>
        <w:t xml:space="preserve">“come out clean”</w:t>
      </w:r>
      <w:r>
        <w:t xml:space="preserve"> </w:t>
      </w:r>
      <w:r>
        <w:t xml:space="preserve">utilizes Blues slang to refer to the purification of</w:t>
      </w:r>
      <w:r>
        <w:t xml:space="preserve"> </w:t>
      </w:r>
      <w:r>
        <w:rPr>
          <w:i/>
          <w:iCs/>
        </w:rPr>
        <w:t xml:space="preserve">asravas</w:t>
      </w:r>
      <w:r>
        <w:t xml:space="preserve"> </w:t>
      </w:r>
      <w:r>
        <w:t xml:space="preserve">(defilements), transforming an abstract psychological state into a trial by fire. Furthermore, the text translates</w:t>
      </w:r>
      <w:r>
        <w:t xml:space="preserve"> </w:t>
      </w:r>
      <w:r>
        <w:rPr>
          <w:i/>
          <w:iCs/>
        </w:rPr>
        <w:t xml:space="preserve">kṣīṇāsrava</w:t>
      </w:r>
      <w:r>
        <w:t xml:space="preserve"> </w:t>
      </w:r>
      <w:r>
        <w:t xml:space="preserve">(extinction of outflows) as having</w:t>
      </w:r>
      <w:r>
        <w:t xml:space="preserve"> </w:t>
      </w:r>
      <w:r>
        <w:t xml:space="preserve">“dried up all the leaking wounds,”</w:t>
      </w:r>
      <w:r>
        <w:t xml:space="preserve"> </w:t>
      </w:r>
      <w:r>
        <w:t xml:space="preserve">moving the concept from metaphysics to physical healing, effectively aligning the Buddha’s work with the widespread Blues motif of</w:t>
      </w:r>
      <w:r>
        <w:t xml:space="preserve"> </w:t>
      </w:r>
      <w:r>
        <w:t xml:space="preserve">“Doctor Jesus.”</w:t>
      </w:r>
    </w:p>
    <w:bookmarkEnd w:id="20"/>
    <w:bookmarkStart w:id="21" w:name="skillful-means-as-loving-tricks"/>
    <w:p>
      <w:pPr>
        <w:pStyle w:val="Heading3"/>
      </w:pPr>
      <w:r>
        <w:t xml:space="preserve">4.2 Skillful Means as</w:t>
      </w:r>
      <w:r>
        <w:t xml:space="preserve"> </w:t>
      </w:r>
      <w:r>
        <w:t xml:space="preserve">“Loving Tricks”</w:t>
      </w:r>
    </w:p>
    <w:p>
      <w:pPr>
        <w:pStyle w:val="FirstParagraph"/>
      </w:pPr>
      <w:r>
        <w:t xml:space="preserve">This vernacular approach extends to the core doctrine of</w:t>
      </w:r>
      <w:r>
        <w:t xml:space="preserve"> </w:t>
      </w:r>
      <w:r>
        <w:rPr>
          <w:i/>
          <w:iCs/>
        </w:rPr>
        <w:t xml:space="preserve">upāya-kauśalya</w:t>
      </w:r>
      <w:r>
        <w:t xml:space="preserve">, which the translation renders as</w:t>
      </w:r>
      <w:r>
        <w:t xml:space="preserve"> </w:t>
      </w:r>
      <w:r>
        <w:t xml:space="preserve">“The Loving Tricks.”</w:t>
      </w:r>
      <w:r>
        <w:t xml:space="preserve"> </w:t>
      </w:r>
      <w:r>
        <w:t xml:space="preserve">The Buddha declares,</w:t>
      </w:r>
      <w:r>
        <w:t xml:space="preserve"> </w:t>
      </w:r>
      <w:r>
        <w:t xml:space="preserve">“Countless loving tricks, that’s what I been using, leading people, guiding them away from all their clinging and holding on”</w:t>
      </w:r>
      <w:r>
        <w:t xml:space="preserve">.</w:t>
      </w:r>
    </w:p>
    <w:p>
      <w:pPr>
        <w:pStyle w:val="BodyText"/>
      </w:pPr>
      <w:r>
        <w:t xml:space="preserve">In</w:t>
      </w:r>
      <w:r>
        <w:t xml:space="preserve"> </w:t>
      </w:r>
      <w:r>
        <w:rPr>
          <w:b/>
          <w:bCs/>
        </w:rPr>
        <w:t xml:space="preserve">vernacular folklore</w:t>
      </w:r>
      <w:r>
        <w:t xml:space="preserve">, the Trickster figure (Esu, High John the Conqueror, Br’er Rabbit) is a cultural hero who uses wit and deception to survive against overwhelming odds.. By associating the Buddha with the Trickster, the translation connects</w:t>
      </w:r>
      <w:r>
        <w:t xml:space="preserve"> </w:t>
      </w:r>
      <w:r>
        <w:rPr>
          <w:i/>
          <w:iCs/>
        </w:rPr>
        <w:t xml:space="preserve">upāya</w:t>
      </w:r>
      <w:r>
        <w:t xml:space="preserve"> </w:t>
      </w:r>
      <w:r>
        <w:t xml:space="preserve">with the resourcefulness distinct to the marginalized experience. Crucially, the addition of the word</w:t>
      </w:r>
      <w:r>
        <w:t xml:space="preserve"> </w:t>
      </w:r>
      <w:r>
        <w:t xml:space="preserve">“loving”</w:t>
      </w:r>
      <w:r>
        <w:t xml:space="preserve"> </w:t>
      </w:r>
      <w:r>
        <w:t xml:space="preserve">resolves the ethical tension of the Trickster archetype; these are tricks born of</w:t>
      </w:r>
      <w:r>
        <w:t xml:space="preserve"> </w:t>
      </w:r>
      <w:r>
        <w:rPr>
          <w:i/>
          <w:iCs/>
        </w:rPr>
        <w:t xml:space="preserve">Maitri</w:t>
      </w:r>
      <w:r>
        <w:t xml:space="preserve"> </w:t>
      </w:r>
      <w:r>
        <w:t xml:space="preserve">(loving-kindness), designed to liberate rather than merely deceive.</w:t>
      </w:r>
    </w:p>
    <w:bookmarkEnd w:id="21"/>
    <w:bookmarkStart w:id="22" w:name="the-burning-house-soaked-in-their-games"/>
    <w:p>
      <w:pPr>
        <w:pStyle w:val="Heading3"/>
      </w:pPr>
      <w:r>
        <w:t xml:space="preserve">4.3 The Burning House:</w:t>
      </w:r>
      <w:r>
        <w:t xml:space="preserve"> </w:t>
      </w:r>
      <w:r>
        <w:t xml:space="preserve">“Soaked in Their Games”</w:t>
      </w:r>
    </w:p>
    <w:p>
      <w:pPr>
        <w:pStyle w:val="FirstParagraph"/>
      </w:pPr>
      <w:r>
        <w:t xml:space="preserve">Nowhere is the sensory immediacy of the Blues idiom more apparent than in the Parable of the Burning House (Chapter 3). The text describes the children as</w:t>
      </w:r>
      <w:r>
        <w:t xml:space="preserve"> </w:t>
      </w:r>
      <w:r>
        <w:t xml:space="preserve">“soaked in their games,”</w:t>
      </w:r>
      <w:r>
        <w:t xml:space="preserve"> </w:t>
      </w:r>
      <w:r>
        <w:t xml:space="preserve">a word choice that captures the vivid, intoxicating nature of</w:t>
      </w:r>
      <w:r>
        <w:t xml:space="preserve"> </w:t>
      </w:r>
      <w:r>
        <w:rPr>
          <w:i/>
          <w:iCs/>
        </w:rPr>
        <w:t xml:space="preserve">asava</w:t>
      </w:r>
      <w:r>
        <w:t xml:space="preserve"> </w:t>
      </w:r>
      <w:r>
        <w:t xml:space="preserve">(mental effluxes)—they are effectively</w:t>
      </w:r>
      <w:r>
        <w:t xml:space="preserve"> </w:t>
      </w:r>
      <w:r>
        <w:t xml:space="preserve">“drunk”</w:t>
      </w:r>
      <w:r>
        <w:t xml:space="preserve"> </w:t>
      </w:r>
      <w:r>
        <w:t xml:space="preserve">on samsara.</w:t>
      </w:r>
    </w:p>
    <w:p>
      <w:pPr>
        <w:pStyle w:val="BodyText"/>
      </w:pPr>
      <w:r>
        <w:t xml:space="preserve">Unlike standard translations which often rely on passive description, the Blues version employs onomatopoeia (</w:t>
      </w:r>
      <w:r>
        <w:t xml:space="preserve">“WHOOSH!—fire breaks out”</w:t>
      </w:r>
      <w:r>
        <w:t xml:space="preserve">) and visceral descriptions of structural decay (</w:t>
      </w:r>
      <w:r>
        <w:t xml:space="preserve">“pillars rotting at the roots… beams and rafters leaning sideways”</w:t>
      </w:r>
      <w:r>
        <w:t xml:space="preserve">) to create a sense of urgent danger. The</w:t>
      </w:r>
      <w:r>
        <w:t xml:space="preserve"> </w:t>
      </w:r>
      <w:r>
        <w:rPr>
          <w:i/>
          <w:iCs/>
        </w:rPr>
        <w:t xml:space="preserve">yanas</w:t>
      </w:r>
      <w:r>
        <w:t xml:space="preserve"> </w:t>
      </w:r>
      <w:r>
        <w:t xml:space="preserve">(vehicles) are rendered as</w:t>
      </w:r>
      <w:r>
        <w:t xml:space="preserve"> </w:t>
      </w:r>
      <w:r>
        <w:t xml:space="preserve">“precious toys,”</w:t>
      </w:r>
      <w:r>
        <w:t xml:space="preserve"> </w:t>
      </w:r>
      <w:r>
        <w:t xml:space="preserve">highlighting the provisional nature of the earlier teachings essentially as tools for engagement rather than ultimate ends.</w:t>
      </w:r>
    </w:p>
    <w:bookmarkEnd w:id="22"/>
    <w:bookmarkStart w:id="23" w:name="X7fd77979b3ad73aedbd790f6a8cb2c2fde1b8c4"/>
    <w:p>
      <w:pPr>
        <w:pStyle w:val="Heading3"/>
      </w:pPr>
      <w:r>
        <w:t xml:space="preserve">4.4 The Prodigal Son: A Blues Story of Coming Home</w:t>
      </w:r>
    </w:p>
    <w:p>
      <w:pPr>
        <w:pStyle w:val="FirstParagraph"/>
      </w:pPr>
      <w:r>
        <w:t xml:space="preserve">In Chapter 4, the parable of the poor son is explicitly framed as</w:t>
      </w:r>
      <w:r>
        <w:t xml:space="preserve"> </w:t>
      </w:r>
      <w:r>
        <w:t xml:space="preserve">“A Blues Story of Coming Home.”</w:t>
      </w:r>
      <w:r>
        <w:t xml:space="preserve"> </w:t>
      </w:r>
      <w:r>
        <w:t xml:space="preserve">The son is depicted</w:t>
      </w:r>
      <w:r>
        <w:t xml:space="preserve"> </w:t>
      </w:r>
      <w:r>
        <w:t xml:space="preserve">“hiring himself out for day labor”</w:t>
      </w:r>
      <w:r>
        <w:t xml:space="preserve"> </w:t>
      </w:r>
      <w:r>
        <w:t xml:space="preserve">and</w:t>
      </w:r>
      <w:r>
        <w:t xml:space="preserve"> </w:t>
      </w:r>
      <w:r>
        <w:t xml:space="preserve">“drifting,”</w:t>
      </w:r>
      <w:r>
        <w:t xml:space="preserve"> </w:t>
      </w:r>
      <w:r>
        <w:t xml:space="preserve">articulating his alienation with the thought,</w:t>
      </w:r>
      <w:r>
        <w:t xml:space="preserve"> </w:t>
      </w:r>
      <w:r>
        <w:t xml:space="preserve">“This ain’t no place for a man like me… Better I go to some poor neighborhood where a man can work with his hands”</w:t>
      </w:r>
      <w:r>
        <w:t xml:space="preserve">.</w:t>
      </w:r>
    </w:p>
    <w:p>
      <w:pPr>
        <w:pStyle w:val="BodyText"/>
      </w:pPr>
      <w:r>
        <w:t xml:space="preserve">This retelling highlight textual currents often obscured in standard translations: the intersection of class and race. The son’s internal monologue reflects the</w:t>
      </w:r>
      <w:r>
        <w:t xml:space="preserve"> </w:t>
      </w:r>
      <w:r>
        <w:t xml:space="preserve">“double consciousness”</w:t>
      </w:r>
      <w:r>
        <w:t xml:space="preserve"> </w:t>
      </w:r>
      <w:r>
        <w:t xml:space="preserve">described by W.E.B. Du Bois—the feeling of not belonging in the halls of power. His eventual acceptance by the father becomes a restoration of ontological dignity, a promise of a</w:t>
      </w:r>
      <w:r>
        <w:t xml:space="preserve"> </w:t>
      </w:r>
      <w:r>
        <w:t xml:space="preserve">“Buddha inheritance”</w:t>
      </w:r>
      <w:r>
        <w:t xml:space="preserve"> </w:t>
      </w:r>
      <w:r>
        <w:t xml:space="preserve">that speaks with profound liberatory power to a community historically stripped of lineage and material inheritance.</w:t>
      </w:r>
    </w:p>
    <w:bookmarkEnd w:id="23"/>
    <w:bookmarkStart w:id="24" w:name="devadatta-the-enemy-as-teacher"/>
    <w:p>
      <w:pPr>
        <w:pStyle w:val="Heading3"/>
      </w:pPr>
      <w:r>
        <w:t xml:space="preserve">4.5 Devadatta: The Enemy as Teacher</w:t>
      </w:r>
    </w:p>
    <w:p>
      <w:pPr>
        <w:pStyle w:val="FirstParagraph"/>
      </w:pPr>
      <w:r>
        <w:t xml:space="preserve">The translation handles the controversial figure of Devadatta (Chapter 12) by adopting the narrative voice of a Blues ballad about</w:t>
      </w:r>
      <w:r>
        <w:t xml:space="preserve"> </w:t>
      </w:r>
      <w:r>
        <w:t xml:space="preserve">“paying dues.”</w:t>
      </w:r>
      <w:r>
        <w:t xml:space="preserve"> </w:t>
      </w:r>
      <w:r>
        <w:t xml:space="preserve">The King recounts his past life service to the seer:</w:t>
      </w:r>
      <w:r>
        <w:t xml:space="preserve"> </w:t>
      </w:r>
      <w:r>
        <w:t xml:space="preserve">“I even used my own body as his bed… And my body never got tired… All for the sake of the Dharma.”</w:t>
      </w:r>
    </w:p>
    <w:p>
      <w:pPr>
        <w:pStyle w:val="BodyText"/>
      </w:pPr>
      <w:r>
        <w:t xml:space="preserve">In the Blues tradition, one must</w:t>
      </w:r>
      <w:r>
        <w:t xml:space="preserve"> </w:t>
      </w:r>
      <w:r>
        <w:t xml:space="preserve">“pay dues”</w:t>
      </w:r>
      <w:r>
        <w:t xml:space="preserve"> </w:t>
      </w:r>
      <w:r>
        <w:t xml:space="preserve">through struggle to gain mastery. Devadatta is thus elevated from a villain to the</w:t>
      </w:r>
      <w:r>
        <w:t xml:space="preserve"> </w:t>
      </w:r>
      <w:r>
        <w:t xml:space="preserve">“hard teacher,”</w:t>
      </w:r>
      <w:r>
        <w:t xml:space="preserve"> </w:t>
      </w:r>
      <w:r>
        <w:t xml:space="preserve">a figure well-known in the</w:t>
      </w:r>
      <w:r>
        <w:t xml:space="preserve"> </w:t>
      </w:r>
      <w:r>
        <w:t xml:space="preserve">“school of hard knocks.”</w:t>
      </w:r>
      <w:r>
        <w:t xml:space="preserve"> </w:t>
      </w:r>
      <w:r>
        <w:t xml:space="preserve">This interpretation aligns with the non-dual wisdom of the Blues, where the source of suffering—the</w:t>
      </w:r>
      <w:r>
        <w:t xml:space="preserve"> </w:t>
      </w:r>
      <w:r>
        <w:t xml:space="preserve">“bad man”</w:t>
      </w:r>
      <w:r>
        <w:t xml:space="preserve"> </w:t>
      </w:r>
      <w:r>
        <w:t xml:space="preserve">or oppressor—paradoxically becomes the catalyst for spiritual transcendence.</w:t>
      </w:r>
    </w:p>
    <w:bookmarkEnd w:id="24"/>
    <w:bookmarkStart w:id="25" w:name="the-buddhas-lifespan-thats-the-truth"/>
    <w:p>
      <w:pPr>
        <w:pStyle w:val="Heading3"/>
      </w:pPr>
      <w:r>
        <w:t xml:space="preserve">4.6 The Buddha’s Lifespan:</w:t>
      </w:r>
      <w:r>
        <w:t xml:space="preserve"> </w:t>
      </w:r>
      <w:r>
        <w:t xml:space="preserve">“That’s the Truth”</w:t>
      </w:r>
    </w:p>
    <w:p>
      <w:pPr>
        <w:pStyle w:val="FirstParagraph"/>
      </w:pPr>
      <w:r>
        <w:t xml:space="preserve">Finally, in the revelation of the Buddha’s eternal lifespan (Chapter 16), the translation anchors metaphysical claims in personal testimony. The Buddha asserts,</w:t>
      </w:r>
      <w:r>
        <w:t xml:space="preserve"> </w:t>
      </w:r>
      <w:r>
        <w:t xml:space="preserve">“I actually became a Buddha countless, boundless… ages ago. That’s the truth.”</w:t>
      </w:r>
    </w:p>
    <w:p>
      <w:pPr>
        <w:pStyle w:val="BodyText"/>
      </w:pPr>
      <w:r>
        <w:t xml:space="preserve">The phrase</w:t>
      </w:r>
      <w:r>
        <w:t xml:space="preserve"> </w:t>
      </w:r>
      <w:r>
        <w:t xml:space="preserve">“That’s the truth”</w:t>
      </w:r>
      <w:r>
        <w:t xml:space="preserve"> </w:t>
      </w:r>
      <w:r>
        <w:t xml:space="preserve">functions liturgically like the</w:t>
      </w:r>
      <w:r>
        <w:t xml:space="preserve"> </w:t>
      </w:r>
      <w:r>
        <w:t xml:space="preserve">“Amen”</w:t>
      </w:r>
      <w:r>
        <w:t xml:space="preserve"> </w:t>
      </w:r>
      <w:r>
        <w:t xml:space="preserve">of the</w:t>
      </w:r>
      <w:r>
        <w:t xml:space="preserve"> </w:t>
      </w:r>
      <w:r>
        <w:rPr>
          <w:b/>
          <w:bCs/>
        </w:rPr>
        <w:t xml:space="preserve">vernacular church</w:t>
      </w:r>
      <w:r>
        <w:t xml:space="preserve">, grounding the cosmic claim in the authority of the speaker’s voice. The text further explains his apparent death as</w:t>
      </w:r>
      <w:r>
        <w:t xml:space="preserve"> </w:t>
      </w:r>
      <w:r>
        <w:t xml:space="preserve">“medicine”</w:t>
      </w:r>
      <w:r>
        <w:t xml:space="preserve"> </w:t>
      </w:r>
      <w:r>
        <w:t xml:space="preserve">left for poisoned children, a metaphor that resonates with the community’s reliance on folk healing. 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life under oppression.</w:t>
      </w:r>
    </w:p>
    <w:bookmarkEnd w:id="25"/>
    <w:bookmarkEnd w:id="26"/>
    <w:bookmarkStart w:id="30"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2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27"/>
    <w:bookmarkStart w:id="28"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28"/>
    <w:bookmarkStart w:id="29"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29"/>
    <w:bookmarkEnd w:id="30"/>
    <w:bookmarkStart w:id="33" w:name="X077213fec2a12056f029d65ad4a3c048616186a"/>
    <w:p>
      <w:pPr>
        <w:pStyle w:val="Heading2"/>
      </w:pPr>
      <w:r>
        <w:t xml:space="preserve">6. Vernacular Buddhism: Reclaiming the Dharma</w:t>
      </w:r>
    </w:p>
    <w:p>
      <w:pPr>
        <w:pStyle w:val="FirstParagraph"/>
      </w:pPr>
      <w:r>
        <w:t xml:space="preserve">The translation must also be situated within the growing field of vernacular American Buddhism.</w:t>
      </w:r>
    </w:p>
    <w:bookmarkStart w:id="31"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hostile other) and the Buddhist concept of</w:t>
      </w:r>
      <w:r>
        <w:t xml:space="preserve"> </w:t>
      </w:r>
      <w:r>
        <w:rPr>
          <w:i/>
          <w:iCs/>
        </w:rPr>
        <w:t xml:space="preserve">anatta</w:t>
      </w:r>
      <w:r>
        <w:t xml:space="preserve"> </w:t>
      </w:r>
      <w:r>
        <w:t xml:space="preserve">(non-self). Johnson argues that the experience of having one’s identity dismantled by oppression necessitates a reconstruction of the self that is fluid, resilient, and interconnected—a</w:t>
      </w:r>
      <w:r>
        <w:t xml:space="preserve"> </w:t>
      </w:r>
      <w:r>
        <w:t xml:space="preserve">“Buddhist”</w:t>
      </w:r>
      <w:r>
        <w:t xml:space="preserve"> </w:t>
      </w:r>
      <w:r>
        <w:t xml:space="preserve">self by necessity.</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vernacular subjects navigating a hostile society.</w:t>
      </w:r>
    </w:p>
    <w:bookmarkEnd w:id="31"/>
    <w:bookmarkStart w:id="32"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32"/>
    <w:bookmarkEnd w:id="33"/>
    <w:bookmarkStart w:id="36" w:name="critical-reception-and-ethics"/>
    <w:p>
      <w:pPr>
        <w:pStyle w:val="Heading2"/>
      </w:pPr>
      <w:r>
        <w:t xml:space="preserve">7. Critical Reception and Ethics</w:t>
      </w:r>
    </w:p>
    <w:bookmarkStart w:id="34"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does not belong to the source culture, does this constitute appropriation?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(for example,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34"/>
    <w:bookmarkStart w:id="35"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Historically, the transmission of Buddhism has been a process of</w:t>
      </w:r>
      <w:r>
        <w:t xml:space="preserve"> </w:t>
      </w:r>
      <w:r>
        <w:t xml:space="preserve">“inculturation”</w:t>
      </w:r>
      <w:r>
        <w:t xml:space="preserve">—the adaptation of the Dharma into local idioms. This paper argues for a new phase of this process: the translation of the</w:t>
      </w:r>
      <w:r>
        <w:t xml:space="preserve"> </w:t>
      </w:r>
      <w:r>
        <w:rPr>
          <w:i/>
          <w:iCs/>
        </w:rPr>
        <w:t xml:space="preserve">Lotus Sutra</w:t>
      </w:r>
      <w:r>
        <w:t xml:space="preserve"> </w:t>
      </w:r>
      <w:r>
        <w:t xml:space="preserve">into the</w:t>
      </w:r>
      <w:r>
        <w:t xml:space="preserve"> </w:t>
      </w:r>
      <w:r>
        <w:rPr>
          <w:b/>
          <w:bCs/>
        </w:rPr>
        <w:t xml:space="preserve">Blues Vernacular</w:t>
      </w:r>
      <w:r>
        <w:t xml:space="preserve">.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American cultural studies, it highlights the global resonance of Blues culture and its capacity to absorb and transform global wisdom traditions.</w:t>
      </w:r>
    </w:p>
    <w:bookmarkEnd w:id="35"/>
    <w:bookmarkEnd w:id="36"/>
    <w:bookmarkStart w:id="39" w:name="X74814a57f8b644cbc88a4232809d5b1b945412d"/>
    <w:p>
      <w:pPr>
        <w:pStyle w:val="Heading2"/>
      </w:pPr>
      <w:r>
        <w:t xml:space="preserve">8. Conclusion: The Universal Door of the Blues</w:t>
      </w:r>
    </w:p>
    <w:p>
      <w:pPr>
        <w:pStyle w:val="FirstParagraph"/>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37"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37"/>
    <w:bookmarkStart w:id="38"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38"/>
    <w:bookmarkEnd w:id="39"/>
    <w:bookmarkStart w:id="40"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40"/>
    <w:bookmarkStart w:id="41"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41"/>
    <w:bookmarkStart w:id="42"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w:t>
      </w:r>
      <w:r>
        <w:t xml:space="preserve"> </w:t>
      </w:r>
      <w:r>
        <w:rPr>
          <w:b/>
          <w:bCs/>
        </w:rPr>
        <w:t xml:space="preserve">vernacular epistemology</w:t>
      </w:r>
      <w:r>
        <w:t xml:space="preserve"> </w:t>
      </w:r>
      <w:r>
        <w:t xml:space="preserve">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2026-01-03T16:32:15Z</dcterms:created>
  <dcterms:modified xsi:type="dcterms:W3CDTF">2026-01-03T16:32:15Z</dcterms:modified>
</cp:coreProperties>
</file>

<file path=docProps/custom.xml><?xml version="1.0" encoding="utf-8"?>
<Properties xmlns="http://schemas.openxmlformats.org/officeDocument/2006/custom-properties" xmlns:vt="http://schemas.openxmlformats.org/officeDocument/2006/docPropsVTypes"/>
</file>