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William Altig</w:t>
      </w:r>
      <w:r>
        <w:br/>
      </w:r>
      <w:r>
        <w:t xml:space="preserve">Independent Scholar</w:t>
      </w:r>
      <w:r>
        <w:br/>
      </w:r>
      <w:r>
        <w:t xml:space="preserve">Houston, TX</w:t>
      </w:r>
      <w:r>
        <w:br/>
      </w:r>
      <w:r>
        <w:t xml:space="preserve">Email: dwaltig@gmail.com</w:t>
      </w:r>
    </w:p>
    <w:p>
      <w:pPr>
        <w:pStyle w:val="BodyText"/>
      </w:pPr>
      <w:r>
        <w:rPr>
          <w:b/>
          <w:bCs/>
        </w:rPr>
        <w:t xml:space="preserve">Word Count:</w:t>
      </w:r>
      <w:r>
        <w:t xml:space="preserve"> </w:t>
      </w:r>
      <w:r>
        <w:t xml:space="preserve">5,400</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 (Nida’s dynamic equivalence, Venuti’s domestication/foreignization), Blues philosophy (Murray, Ellison, Baraka), and scholarship on African-American Buddhism (Willis, Johnson, hooks), 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an epistemology of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3"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w:t>
      </w:r>
      <w:r>
        <w:t xml:space="preserve"> </w:t>
      </w:r>
      <w:r>
        <w:rPr>
          <w:rStyle w:val="FootnoteReference"/>
        </w:rPr>
        <w:footnoteReference w:id="10"/>
      </w:r>
      <w:r>
        <w:t xml:space="preserve">.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r>
        <w:t xml:space="preserve"> </w:t>
      </w:r>
      <w:r>
        <w:rPr>
          <w:rStyle w:val="FootnoteReference"/>
        </w:rPr>
        <w:footnoteReference w:id="11"/>
      </w:r>
      <w:r>
        <w:t xml:space="preserve">.</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r>
        <w:t xml:space="preserve"> </w:t>
      </w:r>
      <w:r>
        <w:rPr>
          <w:rStyle w:val="FootnoteReference"/>
        </w:rPr>
        <w:footnoteReference w:id="12"/>
      </w:r>
      <w:r>
        <w:t xml:space="preserve">.</w:t>
      </w:r>
    </w:p>
    <w:p>
      <w:pPr>
        <w:pStyle w:val="BodyText"/>
      </w:pPr>
      <w:r>
        <w:t xml:space="preserve">By analyzing this work through the multiple lenses of translation studies, African-American religious history, Buddhist homiletics (</w:t>
      </w:r>
      <w:r>
        <w:rPr>
          <w:i/>
          <w:iCs/>
        </w:rPr>
        <w:t xml:space="preserve">upāya</w:t>
      </w:r>
      <w:r>
        <w:t xml:space="preserve">), and literary criticism, we argue that this vernacular translation acts as a form of</w:t>
      </w:r>
      <w:r>
        <w:t xml:space="preserve"> </w:t>
      </w:r>
      <w:r>
        <w:t xml:space="preserve">“cultural transcreation.”</w:t>
      </w:r>
      <w:r>
        <w:t xml:space="preserve"> </w:t>
      </w:r>
      <w:r>
        <w:t xml:space="preserve">It validates the</w:t>
      </w:r>
      <w:r>
        <w:t xml:space="preserve"> </w:t>
      </w:r>
      <w:r>
        <w:t xml:space="preserve">“Blues impulse”</w:t>
      </w:r>
      <w:r>
        <w:t xml:space="preserve">—the refusal to look away from the painful details of existence—as a legitimate Dharma gate. Furthermore, it positions the African-American experience not merely as a subject of sociological inquiry, but as a locus of theological and philosophical authority capable of holding and illuminating the deepest truths of the Buddhist tradition.</w:t>
      </w:r>
    </w:p>
    <w:bookmarkEnd w:id="13"/>
    <w:bookmarkStart w:id="26"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7"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w:t>
      </w:r>
      <w:r>
        <w:t xml:space="preserve"> </w:t>
      </w:r>
      <w:r>
        <w:rPr>
          <w:rStyle w:val="FootnoteReference"/>
        </w:rPr>
        <w:footnoteReference w:id="14"/>
      </w:r>
      <w:r>
        <w:t xml:space="preserve">. He condensed repetitive passages,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r>
        <w:t xml:space="preserve"> </w:t>
      </w:r>
      <w:r>
        <w:rPr>
          <w:rStyle w:val="FootnoteReference"/>
        </w:rPr>
        <w:footnoteReference w:id="15"/>
      </w:r>
      <w:r>
        <w:t xml:space="preserve">.</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r>
        <w:t xml:space="preserve"> </w:t>
      </w:r>
      <w:r>
        <w:rPr>
          <w:rStyle w:val="FootnoteReference"/>
        </w:rPr>
        <w:footnoteReference w:id="16"/>
      </w:r>
      <w:r>
        <w:t xml:space="preserve">.</w:t>
      </w:r>
    </w:p>
    <w:bookmarkEnd w:id="17"/>
    <w:bookmarkStart w:id="21"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r>
        <w:t xml:space="preserve"> </w:t>
      </w:r>
      <w:r>
        <w:rPr>
          <w:rStyle w:val="FootnoteReference"/>
        </w:rPr>
        <w:footnoteReference w:id="18"/>
      </w:r>
      <w:r>
        <w:t xml:space="preserve">.</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r>
        <w:t xml:space="preserve"> </w:t>
      </w:r>
      <w:r>
        <w:rPr>
          <w:rStyle w:val="FootnoteReference"/>
        </w:rPr>
        <w:footnoteReference w:id="19"/>
      </w:r>
      <w:r>
        <w:t xml:space="preserv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rPr>
          <w:rStyle w:val="FootnoteReference"/>
        </w:rPr>
        <w:footnoteReference w:id="20"/>
      </w:r>
      <w:r>
        <w:t xml:space="preserve">, it uses culturally resonant imagery to replicate the original text’s soteriological impact.</w:t>
      </w:r>
    </w:p>
    <w:bookmarkEnd w:id="21"/>
    <w:bookmarkStart w:id="25" w:name="venutis-domestication-and-foreignization"/>
    <w:p>
      <w:pPr>
        <w:pStyle w:val="Heading3"/>
      </w:pPr>
      <w:r>
        <w:t xml:space="preserve">2.3 Venuti’s Domestication and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w:t>
      </w:r>
      <w:r>
        <w:t xml:space="preserve"> </w:t>
      </w:r>
      <w:r>
        <w:rPr>
          <w:rStyle w:val="FootnoteReference"/>
        </w:rPr>
        <w:footnoteReference w:id="22"/>
      </w:r>
      <w:r>
        <w:t xml:space="preserve">. He advocates for</w:t>
      </w:r>
      <w:r>
        <w:t xml:space="preserve"> </w:t>
      </w:r>
      <w:r>
        <w:t xml:space="preserve">“foreignization,”</w:t>
      </w:r>
      <w:r>
        <w:t xml:space="preserve"> </w:t>
      </w:r>
      <w:r>
        <w:t xml:space="preserve">which retains linguistic and cultural differences to challenge the reader and prevent ethnocentric assimilation.</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w:t>
      </w:r>
      <w:r>
        <w:t xml:space="preserve"> </w:t>
      </w:r>
      <w:r>
        <w:rPr>
          <w:rStyle w:val="FootnoteReference"/>
        </w:rPr>
        <w:footnoteReference w:id="23"/>
      </w:r>
      <w:r>
        <w:t xml:space="preserve">.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rPr>
          <w:rStyle w:val="FootnoteReference"/>
        </w:rPr>
        <w:footnoteReference w:id="24"/>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This resists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25"/>
    <w:bookmarkEnd w:id="26"/>
    <w:bookmarkStart w:id="38"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philosophical system, an epistemology (way of knowing), and a technology for survival. Scholars of African-American studies have long argued that the Blues constitutes a coherent worldview that parallels existentialism and, notably, Buddhism.</w:t>
      </w:r>
    </w:p>
    <w:bookmarkStart w:id="29"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r>
        <w:t xml:space="preserve"> </w:t>
      </w:r>
      <w:r>
        <w:rPr>
          <w:rStyle w:val="FootnoteReference"/>
        </w:rPr>
        <w:footnoteReference w:id="27"/>
      </w:r>
      <w:r>
        <w:t xml:space="preserv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rPr>
          <w:rStyle w:val="FootnoteReference"/>
        </w:rPr>
        <w:footnoteReference w:id="28"/>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29"/>
    <w:bookmarkStart w:id="32"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rPr>
          <w:rStyle w:val="FootnoteReference"/>
        </w:rPr>
        <w:footnoteReference w:id="30"/>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rPr>
          <w:rStyle w:val="FootnoteReference"/>
        </w:rPr>
        <w:footnoteReference w:id="31"/>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32"/>
    <w:bookmarkStart w:id="35"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r>
        <w:t xml:space="preserve"> </w:t>
      </w:r>
      <w:r>
        <w:rPr>
          <w:rStyle w:val="FootnoteReference"/>
        </w:rPr>
        <w:footnoteReference w:id="33"/>
      </w:r>
      <w:r>
        <w:t xml:space="preserv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r>
        <w:t xml:space="preserve"> </w:t>
      </w:r>
      <w:r>
        <w:rPr>
          <w:rStyle w:val="FootnoteReference"/>
        </w:rPr>
        <w:footnoteReference w:id="34"/>
      </w:r>
      <w:r>
        <w:t xml:space="preserve">.</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35"/>
    <w:bookmarkStart w:id="37"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r>
        <w:t xml:space="preserve"> </w:t>
      </w:r>
      <w:r>
        <w:rPr>
          <w:rStyle w:val="FootnoteReference"/>
        </w:rPr>
        <w:footnoteReference w:id="36"/>
      </w:r>
      <w:r>
        <w:t xml:space="preserve">.</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37"/>
    <w:bookmarkEnd w:id="38"/>
    <w:bookmarkStart w:id="52"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40"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rPr>
          <w:rStyle w:val="FootnoteReference"/>
        </w:rPr>
        <w:footnoteReference w:id="39"/>
      </w:r>
      <w:r>
        <w:t xml:space="preserve">.</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40"/>
    <w:bookmarkStart w:id="43"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rPr>
          <w:rStyle w:val="FootnoteReference"/>
        </w:rPr>
        <w:footnoteReference w:id="41"/>
      </w:r>
      <w:r>
        <w:t xml:space="preserve">.</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w:t>
      </w:r>
      <w:r>
        <w:t xml:space="preserve"> </w:t>
      </w:r>
      <w:r>
        <w:rPr>
          <w:rStyle w:val="FootnoteReference"/>
        </w:rPr>
        <w:footnoteReference w:id="42"/>
      </w:r>
      <w:r>
        <w:t xml:space="preserve">.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43"/>
    <w:bookmarkStart w:id="45"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w:t>
      </w:r>
      <w:r>
        <w:t xml:space="preserve"> </w:t>
      </w:r>
      <w:r>
        <w:rPr>
          <w:rStyle w:val="FootnoteReference"/>
        </w:rPr>
        <w:footnoteReference w:id="44"/>
      </w:r>
      <w:r>
        <w:t xml:space="preserve">.</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45"/>
    <w:bookmarkStart w:id="47"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rPr>
          <w:rStyle w:val="FootnoteReference"/>
        </w:rPr>
        <w:footnoteReference w:id="46"/>
      </w:r>
      <w:r>
        <w:t xml:space="preserve">.</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47"/>
    <w:bookmarkStart w:id="49"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rPr>
          <w:rStyle w:val="FootnoteReference"/>
        </w:rPr>
        <w:footnoteReference w:id="48"/>
      </w:r>
      <w:r>
        <w:t xml:space="preserve">.</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49"/>
    <w:bookmarkStart w:id="51"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w:t>
      </w:r>
      <w:r>
        <w:t xml:space="preserve"> </w:t>
      </w:r>
      <w:r>
        <w:rPr>
          <w:rStyle w:val="FootnoteReference"/>
        </w:rPr>
        <w:footnoteReference w:id="50"/>
      </w:r>
      <w:r>
        <w:t xml:space="preserve">.</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51"/>
    <w:bookmarkEnd w:id="52"/>
    <w:bookmarkStart w:id="59"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54"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r>
        <w:t xml:space="preserve"> </w:t>
      </w:r>
      <w:r>
        <w:rPr>
          <w:rStyle w:val="FootnoteReference"/>
        </w:rPr>
        <w:footnoteReference w:id="53"/>
      </w:r>
      <w:r>
        <w:t xml:space="preserve">.</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54"/>
    <w:bookmarkStart w:id="56"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r>
        <w:t xml:space="preserve"> </w:t>
      </w:r>
      <w:r>
        <w:rPr>
          <w:rStyle w:val="FootnoteReference"/>
        </w:rPr>
        <w:footnoteReference w:id="55"/>
      </w:r>
      <w:r>
        <w:t xml:space="preserv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56"/>
    <w:bookmarkStart w:id="58"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w:t>
      </w:r>
      <w:r>
        <w:t xml:space="preserve"> </w:t>
      </w:r>
      <w:r>
        <w:rPr>
          <w:rStyle w:val="FootnoteReference"/>
        </w:rPr>
        <w:footnoteReference w:id="57"/>
      </w:r>
      <w:r>
        <w:t xml:space="preserve">.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58"/>
    <w:bookmarkEnd w:id="59"/>
    <w:bookmarkStart w:id="64"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6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w:t>
      </w:r>
      <w:r>
        <w:t xml:space="preserve"> </w:t>
      </w:r>
      <w:r>
        <w:rPr>
          <w:rStyle w:val="FootnoteReference"/>
        </w:rPr>
        <w:footnoteReference w:id="60"/>
      </w:r>
      <w:r>
        <w:t xml:space="preserve">.</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61"/>
    <w:bookmarkStart w:id="63"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w:t>
      </w:r>
      <w:r>
        <w:t xml:space="preserve"> </w:t>
      </w:r>
      <w:r>
        <w:rPr>
          <w:rStyle w:val="FootnoteReference"/>
        </w:rPr>
        <w:footnoteReference w:id="62"/>
      </w:r>
      <w:r>
        <w:t xml:space="preserve">.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63"/>
    <w:bookmarkEnd w:id="64"/>
    <w:bookmarkStart w:id="69" w:name="critical-reception-and-ethics"/>
    <w:p>
      <w:pPr>
        <w:pStyle w:val="Heading2"/>
      </w:pPr>
      <w:r>
        <w:t xml:space="preserve">7. Critical Reception and Ethics</w:t>
      </w:r>
    </w:p>
    <w:bookmarkStart w:id="66"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w:t>
      </w:r>
      <w:r>
        <w:t xml:space="preserve"> </w:t>
      </w:r>
      <w:r>
        <w:rPr>
          <w:rStyle w:val="FootnoteReference"/>
        </w:rPr>
        <w:footnoteReference w:id="65"/>
      </w:r>
      <w:r>
        <w:t xml:space="preserve">.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66"/>
    <w:bookmarkStart w:id="68"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rPr>
          <w:rStyle w:val="FootnoteReference"/>
        </w:rPr>
        <w:footnoteReference w:id="67"/>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68"/>
    <w:bookmarkEnd w:id="69"/>
    <w:bookmarkStart w:id="72"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(intellectual, dry, text-historical)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he would likely speak in the Blues idiom—because,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70"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70"/>
    <w:bookmarkStart w:id="71"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71"/>
    <w:bookmarkEnd w:id="72"/>
    <w:bookmarkStart w:id="73"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73"/>
    <w:bookmarkStart w:id="74"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74"/>
    <w:bookmarkStart w:id="75"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 African-American epistemology 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K. R. Norman,</w:t>
      </w:r>
      <w:r>
        <w:t xml:space="preserve"> </w:t>
      </w:r>
      <w:r>
        <w:rPr>
          <w:i/>
          <w:iCs/>
        </w:rPr>
        <w:t xml:space="preserve">Pāli Literature</w:t>
      </w:r>
      <w:r>
        <w:t xml:space="preserve"> </w:t>
      </w:r>
      <w:r>
        <w:t xml:space="preserve">(Wiesbaden: Otto Harrassowitz, 1983).</w:t>
      </w:r>
    </w:p>
  </w:footnote>
  <w:footnote w:id="11">
    <w:p>
      <w:pPr>
        <w:pStyle w:val="FootnoteText"/>
      </w:pPr>
      <w:r>
        <w:rPr>
          <w:rStyle w:val="FootnoteReference"/>
        </w:rPr>
        <w:footnoteRef/>
      </w:r>
      <w:r>
        <w:t xml:space="preserve"> </w:t>
      </w:r>
      <w:r>
        <w:t xml:space="preserve">Sylvie Hureau,</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w:t>
      </w:r>
      <w:r>
        <w:t xml:space="preserve">, ed. John Lagerwey and Lü Pengzhi (Leiden: Brill, 2010), 741–774.</w:t>
      </w:r>
    </w:p>
  </w:footnote>
  <w:footnote w:id="12">
    <w:p>
      <w:pPr>
        <w:pStyle w:val="FootnoteText"/>
      </w:pPr>
      <w:r>
        <w:rPr>
          <w:rStyle w:val="FootnoteReference"/>
        </w:rPr>
        <w:footnoteRef/>
      </w:r>
      <w:r>
        <w:t xml:space="preserve"> </w:t>
      </w:r>
      <w:r>
        <w:t xml:space="preserve">William Altig,</w:t>
      </w:r>
      <w:r>
        <w:t xml:space="preserve"> </w:t>
      </w:r>
      <w:r>
        <w:t xml:space="preserve">“The Lotus Sutra: A Blues Interpretation”</w:t>
      </w:r>
      <w:r>
        <w:t xml:space="preserve"> </w:t>
      </w:r>
      <w:r>
        <w:t xml:space="preserve">(Unpublished manuscript, 2025).</w:t>
      </w:r>
    </w:p>
  </w:footnote>
  <w:footnote w:id="14">
    <w:p>
      <w:pPr>
        <w:pStyle w:val="FootnoteText"/>
      </w:pPr>
      <w:r>
        <w:rPr>
          <w:rStyle w:val="FootnoteReference"/>
        </w:rPr>
        <w:footnoteRef/>
      </w:r>
      <w:r>
        <w:t xml:space="preserve"> </w:t>
      </w:r>
      <w:r>
        <w:t xml:space="preserve">Hureau,</w:t>
      </w:r>
      <w:r>
        <w:t xml:space="preserve"> </w:t>
      </w:r>
      <w:r>
        <w:t xml:space="preserve">“Translations,”</w:t>
      </w:r>
      <w:r>
        <w:t xml:space="preserve"> </w:t>
      </w:r>
      <w:r>
        <w:t xml:space="preserve">745.</w:t>
      </w:r>
    </w:p>
  </w:footnote>
  <w:footnote w:id="15">
    <w:p>
      <w:pPr>
        <w:pStyle w:val="FootnoteText"/>
      </w:pPr>
      <w:r>
        <w:rPr>
          <w:rStyle w:val="FootnoteReference"/>
        </w:rPr>
        <w:footnoteRef/>
      </w:r>
      <w:r>
        <w:t xml:space="preserve"> </w:t>
      </w:r>
      <w:r>
        <w:t xml:space="preserve">Altig,</w:t>
      </w:r>
      <w:r>
        <w:t xml:space="preserve"> </w:t>
      </w:r>
      <w:r>
        <w:t xml:space="preserve">“Blues Lotus Sutra.”</w:t>
      </w:r>
    </w:p>
  </w:footnote>
  <w:footnote w:id="16">
    <w:p>
      <w:pPr>
        <w:pStyle w:val="FootnoteText"/>
      </w:pPr>
      <w:r>
        <w:rPr>
          <w:rStyle w:val="FootnoteReference"/>
        </w:rPr>
        <w:footnoteRef/>
      </w:r>
      <w:r>
        <w:t xml:space="preserve"> </w:t>
      </w:r>
      <w:r>
        <w:t xml:space="preserve">Manyuan Hua,</w:t>
      </w:r>
      <w:r>
        <w:t xml:space="preserve"> </w:t>
      </w:r>
      <w:r>
        <w:t xml:space="preserve">“Reinterpreting The Wén-Zhì Debate in the Education of Translation History,”</w:t>
      </w:r>
      <w:r>
        <w:t xml:space="preserve"> </w:t>
      </w:r>
      <w:r>
        <w:rPr>
          <w:i/>
          <w:iCs/>
        </w:rPr>
        <w:t xml:space="preserve">International Journal of Languages, Literature and Linguistics</w:t>
      </w:r>
      <w:r>
        <w:t xml:space="preserve"> </w:t>
      </w:r>
      <w:r>
        <w:t xml:space="preserve">4, no. 4 (2018): 277–283.</w:t>
      </w:r>
    </w:p>
  </w:footnote>
  <w:footnote w:id="18">
    <w:p>
      <w:pPr>
        <w:pStyle w:val="FootnoteText"/>
      </w:pPr>
      <w:r>
        <w:rPr>
          <w:rStyle w:val="FootnoteReference"/>
        </w:rPr>
        <w:footnoteRef/>
      </w:r>
      <w:r>
        <w:t xml:space="preserve"> </w:t>
      </w:r>
      <w:r>
        <w:t xml:space="preserve">Eugene A. Nida,</w:t>
      </w:r>
      <w:r>
        <w:t xml:space="preserve"> </w:t>
      </w:r>
      <w:r>
        <w:rPr>
          <w:i/>
          <w:iCs/>
        </w:rPr>
        <w:t xml:space="preserve">Toward a Science of Translating</w:t>
      </w:r>
      <w:r>
        <w:t xml:space="preserve"> </w:t>
      </w:r>
      <w:r>
        <w:t xml:space="preserve">(Leiden: Brill, 1964).</w:t>
      </w:r>
    </w:p>
  </w:footnote>
  <w:footnote w:id="19">
    <w:p>
      <w:pPr>
        <w:pStyle w:val="FootnoteText"/>
      </w:pPr>
      <w:r>
        <w:rPr>
          <w:rStyle w:val="FootnoteReference"/>
        </w:rPr>
        <w:footnoteRef/>
      </w:r>
      <w:r>
        <w:t xml:space="preserve"> </w:t>
      </w:r>
      <w:r>
        <w:t xml:space="preserve">Eugene A. Nida and Charles R. Taber,</w:t>
      </w:r>
      <w:r>
        <w:t xml:space="preserve"> </w:t>
      </w:r>
      <w:r>
        <w:rPr>
          <w:i/>
          <w:iCs/>
        </w:rPr>
        <w:t xml:space="preserve">The Theory and Practice of Translation</w:t>
      </w:r>
      <w:r>
        <w:t xml:space="preserve"> </w:t>
      </w:r>
      <w:r>
        <w:t xml:space="preserve">(Leiden: Brill, 1969).</w:t>
      </w:r>
    </w:p>
  </w:footnote>
  <w:footnote w:id="20">
    <w:p>
      <w:pPr>
        <w:pStyle w:val="FootnoteText"/>
      </w:pPr>
      <w:r>
        <w:rPr>
          <w:rStyle w:val="FootnoteReference"/>
        </w:rPr>
        <w:footnoteRef/>
      </w:r>
      <w:r>
        <w:t xml:space="preserve"> </w:t>
      </w:r>
      <w:r>
        <w:t xml:space="preserve">Altig,</w:t>
      </w:r>
      <w:r>
        <w:t xml:space="preserve"> </w:t>
      </w:r>
      <w:r>
        <w:t xml:space="preserve">“Blues Lotus Sutra.”</w:t>
      </w:r>
    </w:p>
  </w:footnote>
  <w:footnote w:id="22">
    <w:p>
      <w:pPr>
        <w:pStyle w:val="FootnoteText"/>
      </w:pPr>
      <w:r>
        <w:rPr>
          <w:rStyle w:val="FootnoteReference"/>
        </w:rPr>
        <w:footnoteRef/>
      </w:r>
      <w:r>
        <w:t xml:space="preserve"> </w:t>
      </w:r>
      <w:r>
        <w:t xml:space="preserve">Lawrence Venuti,</w:t>
      </w:r>
      <w:r>
        <w:t xml:space="preserve"> </w:t>
      </w:r>
      <w:r>
        <w:rPr>
          <w:i/>
          <w:iCs/>
        </w:rPr>
        <w:t xml:space="preserve">The Translator’s Invisibility: A History of Translation</w:t>
      </w:r>
      <w:r>
        <w:t xml:space="preserve"> </w:t>
      </w:r>
      <w:r>
        <w:t xml:space="preserve">(London: Routledge, 1995).</w:t>
      </w:r>
    </w:p>
  </w:footnote>
  <w:footnote w:id="23">
    <w:p>
      <w:pPr>
        <w:pStyle w:val="FootnoteText"/>
      </w:pPr>
      <w:r>
        <w:rPr>
          <w:rStyle w:val="FootnoteReference"/>
        </w:rPr>
        <w:footnoteRef/>
      </w:r>
      <w:r>
        <w:t xml:space="preserve"> </w:t>
      </w:r>
      <w:r>
        <w:t xml:space="preserve">Altig,</w:t>
      </w:r>
      <w:r>
        <w:t xml:space="preserve"> </w:t>
      </w:r>
      <w:r>
        <w:t xml:space="preserve">“Blues Lotus Sutra.”</w:t>
      </w:r>
    </w:p>
  </w:footnote>
  <w:footnote w:id="24">
    <w:p>
      <w:pPr>
        <w:pStyle w:val="FootnoteText"/>
      </w:pPr>
      <w:r>
        <w:rPr>
          <w:rStyle w:val="FootnoteReference"/>
        </w:rPr>
        <w:footnoteRef/>
      </w:r>
      <w:r>
        <w:t xml:space="preserve"> </w:t>
      </w:r>
      <w:r>
        <w:t xml:space="preserve">Altig,</w:t>
      </w:r>
      <w:r>
        <w:t xml:space="preserve"> </w:t>
      </w:r>
      <w:r>
        <w:t xml:space="preserve">“Blues Lotus Sutra.”</w:t>
      </w:r>
    </w:p>
  </w:footnote>
  <w:footnote w:id="27">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McGraw-Hill, 1976).</w:t>
      </w:r>
    </w:p>
  </w:footnote>
  <w:footnote w:id="28">
    <w:p>
      <w:pPr>
        <w:pStyle w:val="FootnoteText"/>
      </w:pPr>
      <w:r>
        <w:rPr>
          <w:rStyle w:val="FootnoteReference"/>
        </w:rPr>
        <w:footnoteRef/>
      </w:r>
      <w:r>
        <w:t xml:space="preserve"> </w:t>
      </w:r>
      <w:r>
        <w:t xml:space="preserve">Altig,</w:t>
      </w:r>
      <w:r>
        <w:t xml:space="preserve"> </w:t>
      </w:r>
      <w:r>
        <w:t xml:space="preserve">“Blues Lotus Sutra.”</w:t>
      </w:r>
    </w:p>
  </w:footnote>
  <w:footnote w:id="30">
    <w:p>
      <w:pPr>
        <w:pStyle w:val="FootnoteText"/>
      </w:pPr>
      <w:r>
        <w:rPr>
          <w:rStyle w:val="FootnoteReference"/>
        </w:rPr>
        <w:footnoteRef/>
      </w:r>
      <w:r>
        <w:t xml:space="preserve"> </w:t>
      </w:r>
      <w:r>
        <w:t xml:space="preserve">Ralph Ellison,</w:t>
      </w:r>
      <w:r>
        <w:t xml:space="preserve"> </w:t>
      </w:r>
      <w:r>
        <w:rPr>
          <w:i/>
          <w:iCs/>
        </w:rPr>
        <w:t xml:space="preserve">Shadow and Act</w:t>
      </w:r>
      <w:r>
        <w:t xml:space="preserve"> </w:t>
      </w:r>
      <w:r>
        <w:t xml:space="preserve">(New York: Random House, 1964).</w:t>
      </w:r>
    </w:p>
  </w:footnote>
  <w:footnote w:id="31">
    <w:p>
      <w:pPr>
        <w:pStyle w:val="FootnoteText"/>
      </w:pPr>
      <w:r>
        <w:rPr>
          <w:rStyle w:val="FootnoteReference"/>
        </w:rPr>
        <w:footnoteRef/>
      </w:r>
      <w:r>
        <w:t xml:space="preserve"> </w:t>
      </w:r>
      <w:r>
        <w:t xml:space="preserve">Altig,</w:t>
      </w:r>
      <w:r>
        <w:t xml:space="preserve"> </w:t>
      </w:r>
      <w:r>
        <w:t xml:space="preserve">“Blues Lotus Sutra.”</w:t>
      </w:r>
    </w:p>
  </w:footnote>
  <w:footnote w:id="33">
    <w:p>
      <w:pPr>
        <w:pStyle w:val="FootnoteText"/>
      </w:pPr>
      <w:r>
        <w:rPr>
          <w:rStyle w:val="FootnoteReference"/>
        </w:rPr>
        <w:footnoteRef/>
      </w:r>
      <w:r>
        <w:t xml:space="preserve"> </w:t>
      </w:r>
      <w:r>
        <w:t xml:space="preserve">Susanna Steinfeld,</w:t>
      </w:r>
      <w:r>
        <w:t xml:space="preserve"> </w:t>
      </w:r>
      <w:r>
        <w:t xml:space="preserve">“The Social Significance of Blues Music”</w:t>
      </w:r>
      <w:r>
        <w:t xml:space="preserve"> </w:t>
      </w:r>
      <w:r>
        <w:t xml:space="preserve">(Master’s thesis, LUISS Guido Carli University, 2016).</w:t>
      </w:r>
    </w:p>
  </w:footnote>
  <w:footnote w:id="34">
    <w:p>
      <w:pPr>
        <w:pStyle w:val="FootnoteText"/>
      </w:pPr>
      <w:r>
        <w:rPr>
          <w:rStyle w:val="FootnoteReference"/>
        </w:rPr>
        <w:footnoteRef/>
      </w:r>
      <w:r>
        <w:t xml:space="preserve"> </w:t>
      </w:r>
      <w:r>
        <w:t xml:space="preserve">Altig,</w:t>
      </w:r>
      <w:r>
        <w:t xml:space="preserve"> </w:t>
      </w:r>
      <w:r>
        <w:t xml:space="preserve">“Blues Lotus Sutra.”</w:t>
      </w:r>
    </w:p>
  </w:footnote>
  <w:footnote w:id="36">
    <w:p>
      <w:pPr>
        <w:pStyle w:val="FootnoteText"/>
      </w:pPr>
      <w:r>
        <w:rPr>
          <w:rStyle w:val="FootnoteReference"/>
        </w:rPr>
        <w:footnoteRef/>
      </w:r>
      <w:r>
        <w:t xml:space="preserve"> </w:t>
      </w:r>
      <w:r>
        <w:t xml:space="preserve">Amiri Baraka (LeRoi Jones),</w:t>
      </w:r>
      <w:r>
        <w:t xml:space="preserve"> </w:t>
      </w:r>
      <w:r>
        <w:rPr>
          <w:i/>
          <w:iCs/>
        </w:rPr>
        <w:t xml:space="preserve">Blues People: Negro Music in White America</w:t>
      </w:r>
      <w:r>
        <w:t xml:space="preserve"> </w:t>
      </w:r>
      <w:r>
        <w:t xml:space="preserve">(New York: William Morrow, 1963).</w:t>
      </w:r>
    </w:p>
  </w:footnote>
  <w:footnote w:id="39">
    <w:p>
      <w:pPr>
        <w:pStyle w:val="FootnoteText"/>
      </w:pPr>
      <w:r>
        <w:rPr>
          <w:rStyle w:val="FootnoteReference"/>
        </w:rPr>
        <w:footnoteRef/>
      </w:r>
      <w:r>
        <w:t xml:space="preserve"> </w:t>
      </w:r>
      <w:r>
        <w:t xml:space="preserve">Altig,</w:t>
      </w:r>
      <w:r>
        <w:t xml:space="preserve"> </w:t>
      </w:r>
      <w:r>
        <w:t xml:space="preserve">“Blues Lotus Sutra.”</w:t>
      </w:r>
    </w:p>
  </w:footnote>
  <w:footnote w:id="41">
    <w:p>
      <w:pPr>
        <w:pStyle w:val="FootnoteText"/>
      </w:pPr>
      <w:r>
        <w:rPr>
          <w:rStyle w:val="FootnoteReference"/>
        </w:rPr>
        <w:footnoteRef/>
      </w:r>
      <w:r>
        <w:t xml:space="preserve"> </w:t>
      </w:r>
      <w:r>
        <w:t xml:space="preserve">Altig,</w:t>
      </w:r>
      <w:r>
        <w:t xml:space="preserve"> </w:t>
      </w:r>
      <w:r>
        <w:t xml:space="preserve">“Blues Lotus Sutra.”</w:t>
      </w:r>
    </w:p>
  </w:footnote>
  <w:footnote w:id="42">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44">
    <w:p>
      <w:pPr>
        <w:pStyle w:val="FootnoteText"/>
      </w:pPr>
      <w:r>
        <w:rPr>
          <w:rStyle w:val="FootnoteReference"/>
        </w:rPr>
        <w:footnoteRef/>
      </w:r>
      <w:r>
        <w:t xml:space="preserve"> </w:t>
      </w:r>
      <w:r>
        <w:t xml:space="preserve">Altig,</w:t>
      </w:r>
      <w:r>
        <w:t xml:space="preserve"> </w:t>
      </w:r>
      <w:r>
        <w:t xml:space="preserve">“Blues Lotus Sutra.”</w:t>
      </w:r>
    </w:p>
  </w:footnote>
  <w:footnote w:id="46">
    <w:p>
      <w:pPr>
        <w:pStyle w:val="FootnoteText"/>
      </w:pPr>
      <w:r>
        <w:rPr>
          <w:rStyle w:val="FootnoteReference"/>
        </w:rPr>
        <w:footnoteRef/>
      </w:r>
      <w:r>
        <w:t xml:space="preserve"> </w:t>
      </w:r>
      <w:r>
        <w:t xml:space="preserve">Altig,</w:t>
      </w:r>
      <w:r>
        <w:t xml:space="preserve"> </w:t>
      </w:r>
      <w:r>
        <w:t xml:space="preserve">“Blues Lotus Sutra.”</w:t>
      </w:r>
    </w:p>
  </w:footnote>
  <w:footnote w:id="48">
    <w:p>
      <w:pPr>
        <w:pStyle w:val="FootnoteText"/>
      </w:pPr>
      <w:r>
        <w:rPr>
          <w:rStyle w:val="FootnoteReference"/>
        </w:rPr>
        <w:footnoteRef/>
      </w:r>
      <w:r>
        <w:t xml:space="preserve"> </w:t>
      </w:r>
      <w:r>
        <w:t xml:space="preserve">Altig,</w:t>
      </w:r>
      <w:r>
        <w:t xml:space="preserve"> </w:t>
      </w:r>
      <w:r>
        <w:t xml:space="preserve">“Blues Lotus Sutra.”</w:t>
      </w:r>
    </w:p>
  </w:footnote>
  <w:footnote w:id="50">
    <w:p>
      <w:pPr>
        <w:pStyle w:val="FootnoteText"/>
      </w:pPr>
      <w:r>
        <w:rPr>
          <w:rStyle w:val="FootnoteReference"/>
        </w:rPr>
        <w:footnoteRef/>
      </w:r>
      <w:r>
        <w:t xml:space="preserve"> </w:t>
      </w:r>
      <w:r>
        <w:t xml:space="preserve">Altig,</w:t>
      </w:r>
      <w:r>
        <w:t xml:space="preserve"> </w:t>
      </w:r>
      <w:r>
        <w:t xml:space="preserve">“Blues Lotus Sutra.”</w:t>
      </w:r>
    </w:p>
  </w:footnote>
  <w:footnote w:id="53">
    <w:p>
      <w:pPr>
        <w:pStyle w:val="FootnoteText"/>
      </w:pPr>
      <w:r>
        <w:rPr>
          <w:rStyle w:val="FootnoteReference"/>
        </w:rPr>
        <w:footnoteRef/>
      </w:r>
      <w:r>
        <w:t xml:space="preserve"> </w:t>
      </w:r>
      <w:r>
        <w:t xml:space="preserve">Sea Island Translation Team,</w:t>
      </w:r>
      <w:r>
        <w:t xml:space="preserve"> </w:t>
      </w:r>
      <w:r>
        <w:rPr>
          <w:i/>
          <w:iCs/>
        </w:rPr>
        <w:t xml:space="preserve">De Nyew Testament</w:t>
      </w:r>
      <w:r>
        <w:t xml:space="preserve"> </w:t>
      </w:r>
      <w:r>
        <w:t xml:space="preserve">(New York: American Bible Society, 2005).</w:t>
      </w:r>
    </w:p>
  </w:footnote>
  <w:footnote w:id="55">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w:t>
      </w:r>
      <w:r>
        <w:t xml:space="preserve">(Philadelphia: Lippincott, 1970).</w:t>
      </w:r>
    </w:p>
  </w:footnote>
  <w:footnote w:id="57">
    <w:p>
      <w:pPr>
        <w:pStyle w:val="FootnoteText"/>
      </w:pPr>
      <w:r>
        <w:rPr>
          <w:rStyle w:val="FootnoteReference"/>
        </w:rPr>
        <w:footnoteRef/>
      </w:r>
      <w:r>
        <w:t xml:space="preserve"> </w:t>
      </w:r>
      <w:r>
        <w:t xml:space="preserve">Kiley Jon Clark,</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footnote>
  <w:footnote w:id="60">
    <w:p>
      <w:pPr>
        <w:pStyle w:val="FootnoteText"/>
      </w:pPr>
      <w:r>
        <w:rPr>
          <w:rStyle w:val="FootnoteReference"/>
        </w:rPr>
        <w:footnoteRef/>
      </w:r>
      <w:r>
        <w:t xml:space="preserve"> </w:t>
      </w:r>
      <w:r>
        <w:t xml:space="preserve">Charles Johnson,</w:t>
      </w:r>
      <w:r>
        <w:t xml:space="preserve"> </w:t>
      </w:r>
      <w:r>
        <w:rPr>
          <w:i/>
          <w:iCs/>
        </w:rPr>
        <w:t xml:space="preserve">Turning the Wheel: Essays on Buddhism and Writing</w:t>
      </w:r>
      <w:r>
        <w:t xml:space="preserve"> </w:t>
      </w:r>
      <w:r>
        <w:t xml:space="preserve">(New York: Scribner, 2003).</w:t>
      </w:r>
    </w:p>
  </w:footnote>
  <w:footnote w:id="62">
    <w:p>
      <w:pPr>
        <w:pStyle w:val="FootnoteText"/>
      </w:pPr>
      <w:r>
        <w:rPr>
          <w:rStyle w:val="FootnoteReference"/>
        </w:rPr>
        <w:footnoteRef/>
      </w:r>
      <w:r>
        <w:t xml:space="preserve"> </w:t>
      </w:r>
      <w:r>
        <w:t xml:space="preserve">Jan Willis,</w:t>
      </w:r>
      <w:r>
        <w:t xml:space="preserve"> </w:t>
      </w:r>
      <w:r>
        <w:rPr>
          <w:i/>
          <w:iCs/>
        </w:rPr>
        <w:t xml:space="preserve">Dreaming Me: Black, Baptist, and Buddhist</w:t>
      </w:r>
      <w:r>
        <w:t xml:space="preserve"> </w:t>
      </w:r>
      <w:r>
        <w:t xml:space="preserve">(New York: Riverhead Books, 2001).</w:t>
      </w:r>
    </w:p>
  </w:footnote>
  <w:footnote w:id="65">
    <w:p>
      <w:pPr>
        <w:pStyle w:val="FootnoteText"/>
      </w:pPr>
      <w:r>
        <w:rPr>
          <w:rStyle w:val="FootnoteReference"/>
        </w:rPr>
        <w:footnoteRef/>
      </w:r>
      <w:r>
        <w:t xml:space="preserve"> </w:t>
      </w:r>
      <w:r>
        <w:t xml:space="preserve">Paul Oliver,</w:t>
      </w:r>
      <w:r>
        <w:t xml:space="preserve"> </w:t>
      </w:r>
      <w:r>
        <w:rPr>
          <w:i/>
          <w:iCs/>
        </w:rPr>
        <w:t xml:space="preserve">Blues Fell This Morning: Meaning in the Blues</w:t>
      </w:r>
      <w:r>
        <w:t xml:space="preserve">, 2nd ed. (Cambridge: Cambridge University Press, 1990).</w:t>
      </w:r>
    </w:p>
  </w:footnote>
  <w:footnote w:id="67">
    <w:p>
      <w:pPr>
        <w:pStyle w:val="FootnoteText"/>
      </w:pPr>
      <w:r>
        <w:rPr>
          <w:rStyle w:val="FootnoteReference"/>
        </w:rPr>
        <w:footnoteRef/>
      </w:r>
      <w:r>
        <w:t xml:space="preserve"> </w:t>
      </w:r>
      <w:r>
        <w:t xml:space="preserve">Altig,</w:t>
      </w:r>
      <w:r>
        <w:t xml:space="preserve"> </w:t>
      </w:r>
      <w:r>
        <w:t xml:space="preserve">“Blues Lotus Sutra.”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2026-01-02T22:26:19Z</dcterms:created>
  <dcterms:modified xsi:type="dcterms:W3CDTF">2026-01-02T22:26:19Z</dcterms:modified>
</cp:coreProperties>
</file>

<file path=docProps/custom.xml><?xml version="1.0" encoding="utf-8"?>
<Properties xmlns="http://schemas.openxmlformats.org/officeDocument/2006/custom-properties" xmlns:vt="http://schemas.openxmlformats.org/officeDocument/2006/docPropsVTypes"/>
</file>