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05ae160413a3e367b741aca88b29500df5f0996"/>
    <w:p>
      <w:pPr>
        <w:pStyle w:val="Heading1"/>
      </w:pPr>
      <w:r>
        <w:t xml:space="preserve">The Dharma Sings the Blues: A Comprehensive Scholarly Analysis of Vernacular Buddhist Translation through the Lens of African-American Idiom</w:t>
      </w:r>
    </w:p>
    <w:p>
      <w:pPr>
        <w:pStyle w:val="FirstParagraph"/>
      </w:pPr>
      <w:r>
        <w:rPr>
          <w:b/>
          <w:bCs/>
        </w:rPr>
        <w:t xml:space="preserve">Word Count:</w:t>
      </w:r>
      <w:r>
        <w:t xml:space="preserve"> </w:t>
      </w:r>
      <w:r>
        <w:t xml:space="preserve">6,027</w:t>
      </w:r>
    </w:p>
    <w:p>
      <w:r>
        <w:pict>
          <v:rect style="width:0;height:1.5pt" o:hralign="center" o:hrstd="t" o:hr="t"/>
        </w:pict>
      </w:r>
    </w:p>
    <w:bookmarkStart w:id="14"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African-American Blues vernacular. Drawing on translation theory</w:t>
      </w:r>
      <w:r>
        <w:t xml:space="preserve"> </w:t>
      </w:r>
      <w:r>
        <w:rPr>
          <w:rStyle w:val="FootnoteReference"/>
        </w:rPr>
        <w:footnoteReference w:id="9"/>
      </w:r>
      <w:r>
        <w:t xml:space="preserve">, Blues philosophy</w:t>
      </w:r>
      <w:r>
        <w:t xml:space="preserve"> </w:t>
      </w:r>
      <w:r>
        <w:rPr>
          <w:rStyle w:val="FootnoteReference"/>
        </w:rPr>
        <w:footnoteReference w:id="10"/>
      </w:r>
      <w:r>
        <w:t xml:space="preserve">, and scholarship on African-American Buddhism—</w:t>
      </w:r>
      <w:r>
        <w:rPr>
          <w:rStyle w:val="FootnoteReference"/>
        </w:rPr>
        <w:footnoteReference w:id="11"/>
      </w:r>
      <w:r>
        <w:t xml:space="preserve">,</w:t>
      </w:r>
      <w:r>
        <w:t xml:space="preserve"> </w:t>
      </w:r>
      <w:r>
        <w:rPr>
          <w:rStyle w:val="FootnoteReference"/>
        </w:rPr>
        <w:footnoteReference w:id="12"/>
      </w:r>
      <w:r>
        <w:t xml:space="preserve">, and</w:t>
      </w:r>
      <w:r>
        <w:t xml:space="preserve"> </w:t>
      </w:r>
      <w:r>
        <w:rPr>
          <w:rStyle w:val="FootnoteReference"/>
        </w:rPr>
        <w:footnoteReference w:id="13"/>
      </w:r>
      <w:r>
        <w:t xml:space="preserve">—the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w:t>
      </w:r>
      <w:r>
        <w:t xml:space="preserve"> </w:t>
      </w:r>
      <w:r>
        <w:t xml:space="preserve">“Street Dharma”</w:t>
      </w:r>
      <w:r>
        <w:t xml:space="preserve"> </w:t>
      </w:r>
      <w:r>
        <w:t xml:space="preserve">movements, the article positions vernacular translation not as a dilution of the Dharma but as its authentic continuation in the American context. The</w:t>
      </w:r>
      <w:r>
        <w:t xml:space="preserve"> </w:t>
      </w:r>
      <w:r>
        <w:t xml:space="preserve">“Blues Lotus Sutra”</w:t>
      </w:r>
      <w:r>
        <w:t xml:space="preserve"> </w:t>
      </w:r>
      <w:r>
        <w:t xml:space="preserve">thus validates the African-American experience as a locus of theological and philosophical authority capable of illuminating the deepest truths of the Buddhist tradition.</w:t>
      </w:r>
    </w:p>
    <w:p>
      <w:pPr>
        <w:pStyle w:val="BodyText"/>
      </w:pPr>
      <w:r>
        <w:rPr>
          <w:b/>
          <w:bCs/>
        </w:rPr>
        <w:t xml:space="preserve">Keywords:</w:t>
      </w:r>
      <w:r>
        <w:t xml:space="preserve"> </w:t>
      </w:r>
      <w:r>
        <w:t xml:space="preserve">Lotus Sutra, vernacular translation, African-American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14"/>
    <w:bookmarkStart w:id="18"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w:t>
      </w:r>
      <w:r>
        <w:t xml:space="preserve"> </w:t>
      </w:r>
      <w:r>
        <w:rPr>
          <w:rStyle w:val="FootnoteReference"/>
        </w:rPr>
        <w:footnoteReference w:id="15"/>
      </w:r>
      <w:r>
        <w:t xml:space="preserve">.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w:t>
      </w:r>
      <w:r>
        <w:t xml:space="preserve"> </w:t>
      </w:r>
      <w:r>
        <w:rPr>
          <w:rStyle w:val="FootnoteReference"/>
        </w:rPr>
        <w:footnoteReference w:id="16"/>
      </w:r>
      <w:r>
        <w:t xml:space="preserve">.</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African-American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w:t>
      </w:r>
      <w:r>
        <w:t xml:space="preserve"> </w:t>
      </w:r>
      <w:r>
        <w:rPr>
          <w:rStyle w:val="FootnoteReference"/>
        </w:rPr>
        <w:footnoteReference w:id="17"/>
      </w:r>
      <w:r>
        <w:t xml:space="preserve">.</w:t>
      </w:r>
    </w:p>
    <w:p>
      <w:pPr>
        <w:pStyle w:val="BodyText"/>
      </w:pPr>
      <w:r>
        <w:t xml:space="preserve">I analyze this work through the multiple lenses of translation studies, African-American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African-American experience not merely as a subject of sociological inquiry, but as a locus of theological and philosophical authority capable of holding and illuminating the deepest truths of the Buddhist tradition.</w:t>
      </w:r>
    </w:p>
    <w:bookmarkEnd w:id="18"/>
    <w:bookmarkStart w:id="31"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22"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w:t>
      </w:r>
      <w:r>
        <w:t xml:space="preserve"> </w:t>
      </w:r>
      <w:r>
        <w:rPr>
          <w:rStyle w:val="FootnoteReference"/>
        </w:rPr>
        <w:footnoteReference w:id="19"/>
      </w:r>
      <w:r>
        <w:t xml:space="preserve">.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w:t>
      </w:r>
      <w:r>
        <w:t xml:space="preserve"> </w:t>
      </w:r>
      <w:r>
        <w:rPr>
          <w:rStyle w:val="FootnoteReference"/>
        </w:rPr>
        <w:footnoteReference w:id="20"/>
      </w:r>
      <w:r>
        <w:t xml:space="preserve">.</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w:t>
      </w:r>
      <w:r>
        <w:t xml:space="preserve"> </w:t>
      </w:r>
      <w:r>
        <w:rPr>
          <w:rStyle w:val="FootnoteReference"/>
        </w:rPr>
        <w:footnoteReference w:id="21"/>
      </w:r>
      <w:r>
        <w:t xml:space="preserve">.</w:t>
      </w:r>
    </w:p>
    <w:bookmarkEnd w:id="22"/>
    <w:bookmarkStart w:id="26"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w:t>
      </w:r>
      <w:r>
        <w:t xml:space="preserve"> </w:t>
      </w:r>
      <w:r>
        <w:rPr>
          <w:rStyle w:val="FootnoteReference"/>
        </w:rPr>
        <w:footnoteReference w:id="23"/>
      </w:r>
      <w:r>
        <w:t xml:space="preserve">.</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w:t>
      </w:r>
      <w:r>
        <w:t xml:space="preserve"> </w:t>
      </w:r>
      <w:r>
        <w:rPr>
          <w:rStyle w:val="FootnoteReference"/>
        </w:rPr>
        <w:footnoteReference w:id="24"/>
      </w:r>
      <w:r>
        <w:t xml:space="preserve">.</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rPr>
          <w:rStyle w:val="FootnoteReference"/>
        </w:rPr>
        <w:footnoteReference w:id="25"/>
      </w:r>
      <w:r>
        <w:t xml:space="preserve">, it uses culturally resonant imagery to replicate the original text’s soteriological impact.</w:t>
      </w:r>
    </w:p>
    <w:bookmarkEnd w:id="26"/>
    <w:bookmarkStart w:id="30"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w:t>
      </w:r>
      <w:r>
        <w:t xml:space="preserve"> </w:t>
      </w:r>
      <w:r>
        <w:rPr>
          <w:rStyle w:val="FootnoteReference"/>
        </w:rPr>
        <w:footnoteReference w:id="27"/>
      </w:r>
      <w:r>
        <w:t xml:space="preserve">.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w:t>
      </w:r>
      <w:r>
        <w:t xml:space="preserve"> </w:t>
      </w:r>
      <w:r>
        <w:rPr>
          <w:rStyle w:val="FootnoteReference"/>
        </w:rPr>
        <w:footnoteReference w:id="28"/>
      </w:r>
      <w:r>
        <w:t xml:space="preserve">.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rPr>
          <w:rStyle w:val="FootnoteReference"/>
        </w:rPr>
        <w:footnoteReference w:id="29"/>
      </w:r>
      <w:r>
        <w:t xml:space="preserve">.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30"/>
    <w:bookmarkEnd w:id="31"/>
    <w:bookmarkStart w:id="43"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34"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w:t>
      </w:r>
      <w:r>
        <w:t xml:space="preserve"> </w:t>
      </w:r>
      <w:r>
        <w:rPr>
          <w:rStyle w:val="FootnoteReference"/>
        </w:rPr>
        <w:footnoteReference w:id="32"/>
      </w:r>
      <w:r>
        <w:t xml:space="preserve">.</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rPr>
          <w:rStyle w:val="FootnoteReference"/>
        </w:rPr>
        <w:footnoteReference w:id="33"/>
      </w:r>
      <w:r>
        <w:t xml:space="preserve">.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34"/>
    <w:bookmarkStart w:id="37"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rPr>
          <w:rStyle w:val="FootnoteReference"/>
        </w:rPr>
        <w:footnoteReference w:id="35"/>
      </w:r>
      <w:r>
        <w:t xml:space="preserve">.</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rPr>
          <w:rStyle w:val="FootnoteReference"/>
        </w:rPr>
        <w:footnoteReference w:id="36"/>
      </w:r>
      <w:r>
        <w:t xml:space="preserve">.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37"/>
    <w:bookmarkStart w:id="40"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w:t>
      </w:r>
      <w:r>
        <w:t xml:space="preserve"> </w:t>
      </w:r>
      <w:r>
        <w:rPr>
          <w:rStyle w:val="FootnoteReference"/>
        </w:rPr>
        <w:footnoteReference w:id="38"/>
      </w:r>
      <w:r>
        <w:t xml:space="preserve">.</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w:t>
      </w:r>
      <w:r>
        <w:t xml:space="preserve"> </w:t>
      </w:r>
      <w:r>
        <w:rPr>
          <w:rStyle w:val="FootnoteReference"/>
        </w:rPr>
        <w:footnoteReference w:id="39"/>
      </w:r>
      <w:r>
        <w:t xml:space="preserve">.</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40"/>
    <w:bookmarkStart w:id="42"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w:t>
      </w:r>
      <w:r>
        <w:t xml:space="preserve"> </w:t>
      </w:r>
      <w:r>
        <w:rPr>
          <w:rStyle w:val="FootnoteReference"/>
        </w:rPr>
        <w:footnoteReference w:id="41"/>
      </w:r>
      <w:r>
        <w:t xml:space="preserve">.</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42"/>
    <w:bookmarkEnd w:id="43"/>
    <w:bookmarkStart w:id="57" w:name="textual-analysis-the-blues-lotus-sutra"/>
    <w:p>
      <w:pPr>
        <w:pStyle w:val="Heading2"/>
      </w:pPr>
      <w:r>
        <w:t xml:space="preserve">4. Textual Analysis: The Blues Lotus Sutra</w:t>
      </w:r>
    </w:p>
    <w:p>
      <w:pPr>
        <w:pStyle w:val="FirstParagraph"/>
      </w:pPr>
      <w:r>
        <w:t xml:space="preserve">A close reading of the provided text reveals specific translation strategies that bridge Classical Chinese concepts with Blues imagery. This section analyzes key chapters to demonstrate the hermeneutical depth of the work.</w:t>
      </w:r>
    </w:p>
    <w:bookmarkStart w:id="45" w:name="Xf8a6c08441c9b898c6d3e09e82c4207e90ee858"/>
    <w:p>
      <w:pPr>
        <w:pStyle w:val="Heading3"/>
      </w:pPr>
      <w:r>
        <w:t xml:space="preserve">4.1 Chapter 1: The Gathering –</w:t>
      </w:r>
      <w:r>
        <w:t xml:space="preserve"> </w:t>
      </w:r>
      <w:r>
        <w:t xml:space="preserve">“Brothers Who’d Made It Through”</w:t>
      </w:r>
    </w:p>
    <w:p>
      <w:pPr>
        <w:pStyle w:val="FirstParagraph"/>
      </w:pPr>
      <w:r>
        <w:rPr>
          <w:b/>
          <w:bCs/>
        </w:rPr>
        <w:t xml:space="preserve">Context:</w:t>
      </w:r>
      <w:r>
        <w:t xml:space="preserve"> </w:t>
      </w:r>
      <w:r>
        <w:t xml:space="preserve">The sutra opens with the standard assembly of 12,000 Arhats.</w:t>
      </w:r>
    </w:p>
    <w:p>
      <w:pPr>
        <w:pStyle w:val="BodyText"/>
      </w:pPr>
      <w:r>
        <w:rPr>
          <w:b/>
          <w:bCs/>
        </w:rPr>
        <w:t xml:space="preserve">Translation:</w:t>
      </w:r>
      <w:r>
        <w:t xml:space="preserve"> </w:t>
      </w:r>
      <w:r>
        <w:t xml:space="preserve">Instead of the technical term</w:t>
      </w:r>
      <w:r>
        <w:t xml:space="preserve"> </w:t>
      </w:r>
      <w:r>
        <w:t xml:space="preserve">“Arhat”</w:t>
      </w:r>
      <w:r>
        <w:t xml:space="preserve"> </w:t>
      </w:r>
      <w:r>
        <w:t xml:space="preserve">or the dry</w:t>
      </w:r>
      <w:r>
        <w:t xml:space="preserve"> </w:t>
      </w:r>
      <w:r>
        <w:t xml:space="preserve">“Worthy One,”</w:t>
      </w:r>
      <w:r>
        <w:t xml:space="preserve"> </w:t>
      </w:r>
      <w:r>
        <w:t xml:space="preserve">the translation calls them</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rPr>
          <w:rStyle w:val="FootnoteReference"/>
        </w:rPr>
        <w:footnoteReference w:id="44"/>
      </w:r>
      <w:r>
        <w:t xml:space="preserve">.</w:t>
      </w:r>
    </w:p>
    <w:p>
      <w:pPr>
        <w:pStyle w:val="BodyText"/>
      </w:pPr>
      <w:r>
        <w:rPr>
          <w:b/>
          <w:bCs/>
        </w:rPr>
        <w:t xml:space="preserve">Analysis:</w:t>
      </w:r>
    </w:p>
    <w:p>
      <w:pPr>
        <w:pStyle w:val="Compact"/>
        <w:numPr>
          <w:ilvl w:val="0"/>
          <w:numId w:val="1001"/>
        </w:numPr>
      </w:pPr>
      <w:r>
        <w:rPr>
          <w:b/>
          <w:bCs/>
        </w:rPr>
        <w:t xml:space="preserve">“Made it through”</w:t>
      </w:r>
      <w:r>
        <w:rPr>
          <w:b/>
          <w:bCs/>
        </w:rPr>
        <w:t xml:space="preserve">:</w:t>
      </w:r>
      <w:r>
        <w:t xml:space="preserve"> </w:t>
      </w:r>
      <w:r>
        <w:t xml:space="preserve">This phrase resonates with the Black spiritual tradition of</w:t>
      </w:r>
      <w:r>
        <w:t xml:space="preserve"> </w:t>
      </w:r>
      <w:r>
        <w:t xml:space="preserve">“making it over”</w:t>
      </w:r>
      <w:r>
        <w:t xml:space="preserve"> </w:t>
      </w:r>
      <w:r>
        <w:t xml:space="preserve">(crossing Jordan, surviving slavery/Jim Crow). It emphasizes the</w:t>
      </w:r>
      <w:r>
        <w:t xml:space="preserve"> </w:t>
      </w:r>
      <w:r>
        <w:rPr>
          <w:i/>
          <w:iCs/>
        </w:rPr>
        <w:t xml:space="preserve">struggle</w:t>
      </w:r>
      <w:r>
        <w:t xml:space="preserve"> </w:t>
      </w:r>
      <w:r>
        <w:t xml:space="preserve">inherent in the path. The Arhat is not just a saint; he is a survivor.</w:t>
      </w:r>
    </w:p>
    <w:p>
      <w:pPr>
        <w:pStyle w:val="Compact"/>
        <w:numPr>
          <w:ilvl w:val="0"/>
          <w:numId w:val="1001"/>
        </w:numPr>
      </w:pPr>
      <w:r>
        <w:rPr>
          <w:b/>
          <w:bCs/>
        </w:rPr>
        <w:t xml:space="preserve">“Come out clean”</w:t>
      </w:r>
      <w:r>
        <w:rPr>
          <w:b/>
          <w:bCs/>
        </w:rPr>
        <w:t xml:space="preserve">:</w:t>
      </w:r>
      <w:r>
        <w:t xml:space="preserve"> </w:t>
      </w:r>
      <w:r>
        <w:t xml:space="preserve">In Blues slang,</w:t>
      </w:r>
      <w:r>
        <w:t xml:space="preserve"> </w:t>
      </w:r>
      <w:r>
        <w:t xml:space="preserve">“clean”</w:t>
      </w:r>
      <w:r>
        <w:t xml:space="preserve"> </w:t>
      </w:r>
      <w:r>
        <w:t xml:space="preserve">can mean well-dressed or respectable, but here it refers to the purification of</w:t>
      </w:r>
      <w:r>
        <w:t xml:space="preserve"> </w:t>
      </w:r>
      <w:r>
        <w:rPr>
          <w:i/>
          <w:iCs/>
        </w:rPr>
        <w:t xml:space="preserve">asravas</w:t>
      </w:r>
      <w:r>
        <w:t xml:space="preserve"> </w:t>
      </w:r>
      <w:r>
        <w:t xml:space="preserve">(outflows/defilements). It suggests a trial by fire.</w:t>
      </w:r>
    </w:p>
    <w:p>
      <w:pPr>
        <w:pStyle w:val="Compact"/>
        <w:numPr>
          <w:ilvl w:val="0"/>
          <w:numId w:val="1001"/>
        </w:numPr>
      </w:pPr>
      <w:r>
        <w:rPr>
          <w:b/>
          <w:bCs/>
        </w:rPr>
        <w:t xml:space="preserve">“Dried up all the leaking wounds”</w:t>
      </w:r>
      <w:r>
        <w:rPr>
          <w:b/>
          <w:bCs/>
        </w:rPr>
        <w:t xml:space="preserve">:</w:t>
      </w:r>
      <w:r>
        <w:t xml:space="preserve"> </w:t>
      </w:r>
      <w:r>
        <w:t xml:space="preserve">A visceral translation of</w:t>
      </w:r>
      <w:r>
        <w:t xml:space="preserve"> </w:t>
      </w:r>
      <w:r>
        <w:rPr>
          <w:i/>
          <w:iCs/>
        </w:rPr>
        <w:t xml:space="preserve">kṣīṇāsrava</w:t>
      </w:r>
      <w:r>
        <w:t xml:space="preserve"> </w:t>
      </w:r>
      <w:r>
        <w:t xml:space="preserve">(extinction of outflows). It moves the concept from abstract psychology to physical healing, aligning with the</w:t>
      </w:r>
      <w:r>
        <w:t xml:space="preserve"> </w:t>
      </w:r>
      <w:r>
        <w:t xml:space="preserve">“Doctor Jesus”</w:t>
      </w:r>
      <w:r>
        <w:t xml:space="preserve"> </w:t>
      </w:r>
      <w:r>
        <w:t xml:space="preserve">motif.</w:t>
      </w:r>
    </w:p>
    <w:bookmarkEnd w:id="45"/>
    <w:bookmarkStart w:id="48" w:name="chapter-2-skillful-means-loving-tricks"/>
    <w:p>
      <w:pPr>
        <w:pStyle w:val="Heading3"/>
      </w:pPr>
      <w:r>
        <w:t xml:space="preserve">4.2 Chapter 2: Skillful Means –</w:t>
      </w:r>
      <w:r>
        <w:t xml:space="preserve"> </w:t>
      </w:r>
      <w:r>
        <w:t xml:space="preserve">“Loving Tricks”</w:t>
      </w:r>
    </w:p>
    <w:p>
      <w:pPr>
        <w:pStyle w:val="FirstParagraph"/>
      </w:pPr>
      <w:r>
        <w:rPr>
          <w:b/>
          <w:bCs/>
        </w:rPr>
        <w:t xml:space="preserve">Context:</w:t>
      </w:r>
      <w:r>
        <w:t xml:space="preserve"> </w:t>
      </w:r>
      <w:r>
        <w:t xml:space="preserve">The Buddha explains upāya-kauśalya (skillful means/expedient devices).</w:t>
      </w:r>
    </w:p>
    <w:p>
      <w:pPr>
        <w:pStyle w:val="BodyText"/>
      </w:pPr>
      <w:r>
        <w:rPr>
          <w:b/>
          <w:bCs/>
        </w:rPr>
        <w:t xml:space="preserve">Translation:</w:t>
      </w:r>
      <w:r>
        <w:t xml:space="preserve"> </w:t>
      </w:r>
      <w:r>
        <w:t xml:space="preserve">The chapter is titled</w:t>
      </w:r>
      <w:r>
        <w:t xml:space="preserve"> </w:t>
      </w:r>
      <w:r>
        <w:t xml:space="preserve">“The Loving Tricks.”</w:t>
      </w:r>
      <w:r>
        <w:t xml:space="preserve"> </w:t>
      </w:r>
      <w:r>
        <w:t xml:space="preserve">The text reads:</w:t>
      </w:r>
      <w:r>
        <w:t xml:space="preserve"> </w:t>
      </w:r>
      <w:r>
        <w:t xml:space="preserve">“Countless loving tricks, that’s what I been using, leading people, guiding them away from all their clinging and holding on”</w:t>
      </w:r>
      <w:r>
        <w:t xml:space="preserve"> </w:t>
      </w:r>
      <w:r>
        <w:rPr>
          <w:rStyle w:val="FootnoteReference"/>
        </w:rPr>
        <w:footnoteReference w:id="46"/>
      </w:r>
      <w:r>
        <w:t xml:space="preserve">.</w:t>
      </w:r>
    </w:p>
    <w:p>
      <w:pPr>
        <w:pStyle w:val="BodyText"/>
      </w:pPr>
      <w:r>
        <w:rPr>
          <w:b/>
          <w:bCs/>
        </w:rPr>
        <w:t xml:space="preserve">Analysis:</w:t>
      </w:r>
    </w:p>
    <w:p>
      <w:pPr>
        <w:pStyle w:val="Compact"/>
        <w:numPr>
          <w:ilvl w:val="0"/>
          <w:numId w:val="1002"/>
        </w:numPr>
      </w:pPr>
      <w:r>
        <w:rPr>
          <w:b/>
          <w:bCs/>
        </w:rPr>
        <w:t xml:space="preserve">“Tricks”</w:t>
      </w:r>
      <w:r>
        <w:rPr>
          <w:b/>
          <w:bCs/>
        </w:rPr>
        <w:t xml:space="preserve">:</w:t>
      </w:r>
      <w:r>
        <w:t xml:space="preserve"> </w:t>
      </w:r>
      <w:r>
        <w:t xml:space="preserve">In African-American folklore, the Trickster figure (Esu, High John the Conqueror, Br’er Rabbit) is a hero who uses wit and deception to survive against overwhelming odds</w:t>
      </w:r>
      <w:r>
        <w:t xml:space="preserve"> </w:t>
      </w:r>
      <w:r>
        <w:rPr>
          <w:rStyle w:val="FootnoteReference"/>
        </w:rPr>
        <w:footnoteReference w:id="47"/>
      </w:r>
      <w:r>
        <w:t xml:space="preserve">. By associating the Buddha with the Trickster, the translation connects</w:t>
      </w:r>
      <w:r>
        <w:t xml:space="preserve"> </w:t>
      </w:r>
      <w:r>
        <w:rPr>
          <w:i/>
          <w:iCs/>
        </w:rPr>
        <w:t xml:space="preserve">upāya</w:t>
      </w:r>
      <w:r>
        <w:t xml:space="preserve"> </w:t>
      </w:r>
      <w:r>
        <w:t xml:space="preserve">with the resourcefulness required for survival in an oppressive world.</w:t>
      </w:r>
    </w:p>
    <w:p>
      <w:pPr>
        <w:pStyle w:val="Compact"/>
        <w:numPr>
          <w:ilvl w:val="0"/>
          <w:numId w:val="1002"/>
        </w:numPr>
      </w:pPr>
      <w:r>
        <w:rPr>
          <w:b/>
          <w:bCs/>
        </w:rPr>
        <w:t xml:space="preserve">“Loving”</w:t>
      </w:r>
      <w:r>
        <w:rPr>
          <w:b/>
          <w:bCs/>
        </w:rPr>
        <w:t xml:space="preserve">:</w:t>
      </w:r>
      <w:r>
        <w:t xml:space="preserve"> </w:t>
      </w:r>
      <w:r>
        <w:t xml:space="preserve">The addition of</w:t>
      </w:r>
      <w:r>
        <w:t xml:space="preserve"> </w:t>
      </w:r>
      <w:r>
        <w:t xml:space="preserve">“loving”</w:t>
      </w:r>
      <w:r>
        <w:t xml:space="preserve"> </w:t>
      </w:r>
      <w:r>
        <w:t xml:space="preserve">clarifies the motivation. These are not malicious tricks; they are tricks born of</w:t>
      </w:r>
      <w:r>
        <w:t xml:space="preserve"> </w:t>
      </w:r>
      <w:r>
        <w:rPr>
          <w:i/>
          <w:iCs/>
        </w:rPr>
        <w:t xml:space="preserve">Maitri</w:t>
      </w:r>
      <w:r>
        <w:t xml:space="preserve"> </w:t>
      </w:r>
      <w:r>
        <w:t xml:space="preserve">(loving-kindness). The Buddha</w:t>
      </w:r>
      <w:r>
        <w:t xml:space="preserve"> </w:t>
      </w:r>
      <w:r>
        <w:t xml:space="preserve">“tricks”</w:t>
      </w:r>
      <w:r>
        <w:t xml:space="preserve"> </w:t>
      </w:r>
      <w:r>
        <w:t xml:space="preserve">beings out of the burning house because he loves them. This resolves the ethical tension of</w:t>
      </w:r>
      <w:r>
        <w:t xml:space="preserve"> </w:t>
      </w:r>
      <w:r>
        <w:rPr>
          <w:i/>
          <w:iCs/>
        </w:rPr>
        <w:t xml:space="preserve">upāya</w:t>
      </w:r>
      <w:r>
        <w:t xml:space="preserve"> </w:t>
      </w:r>
      <w:r>
        <w:t xml:space="preserve">by grounding it in the ethics of care.</w:t>
      </w:r>
    </w:p>
    <w:bookmarkEnd w:id="48"/>
    <w:bookmarkStart w:id="50" w:name="X1b5cfc45c990bfc122893153c75f06ab28383d1"/>
    <w:p>
      <w:pPr>
        <w:pStyle w:val="Heading3"/>
      </w:pPr>
      <w:r>
        <w:t xml:space="preserve">4.3 Chapter 3: The Burning House –</w:t>
      </w:r>
      <w:r>
        <w:t xml:space="preserve"> </w:t>
      </w:r>
      <w:r>
        <w:t xml:space="preserve">“Soaked in Their Games”</w:t>
      </w:r>
    </w:p>
    <w:p>
      <w:pPr>
        <w:pStyle w:val="FirstParagraph"/>
      </w:pPr>
      <w:r>
        <w:rPr>
          <w:b/>
          <w:bCs/>
        </w:rPr>
        <w:t xml:space="preserve">Context:</w:t>
      </w:r>
      <w:r>
        <w:t xml:space="preserve"> </w:t>
      </w:r>
      <w:r>
        <w:t xml:space="preserve">The parable of the children playing in a burning house, unaware of the danger.</w:t>
      </w:r>
    </w:p>
    <w:p>
      <w:pPr>
        <w:pStyle w:val="BodyText"/>
      </w:pPr>
      <w:r>
        <w:rPr>
          <w:b/>
          <w:bCs/>
        </w:rPr>
        <w:t xml:space="preserve">Translation:</w:t>
      </w:r>
      <w:r>
        <w:t xml:space="preserve"> </w:t>
      </w:r>
      <w:r>
        <w:t xml:space="preserve">The text describes the children as</w:t>
      </w:r>
      <w:r>
        <w:t xml:space="preserve"> </w:t>
      </w:r>
      <w:r>
        <w:t xml:space="preserve">“soaked in their games… they didn’t even know what fire was… just kept running around playing.”</w:t>
      </w:r>
      <w:r>
        <w:t xml:space="preserve"> </w:t>
      </w:r>
      <w:r>
        <w:t xml:space="preserve">The father’s solution is to offer</w:t>
      </w:r>
      <w:r>
        <w:t xml:space="preserve"> </w:t>
      </w:r>
      <w:r>
        <w:t xml:space="preserve">“precious toys”</w:t>
      </w:r>
      <w:r>
        <w:t xml:space="preserve"> </w:t>
      </w:r>
      <w:r>
        <w:t xml:space="preserve">(the three vehicles) to get them out</w:t>
      </w:r>
      <w:r>
        <w:t xml:space="preserve"> </w:t>
      </w:r>
      <w:r>
        <w:rPr>
          <w:rStyle w:val="FootnoteReference"/>
        </w:rPr>
        <w:footnoteReference w:id="49"/>
      </w:r>
      <w:r>
        <w:t xml:space="preserve">.</w:t>
      </w:r>
    </w:p>
    <w:p>
      <w:pPr>
        <w:pStyle w:val="BodyText"/>
      </w:pPr>
      <w:r>
        <w:rPr>
          <w:b/>
          <w:bCs/>
        </w:rPr>
        <w:t xml:space="preserve">Analysis:</w:t>
      </w:r>
    </w:p>
    <w:p>
      <w:pPr>
        <w:pStyle w:val="Compact"/>
        <w:numPr>
          <w:ilvl w:val="0"/>
          <w:numId w:val="1003"/>
        </w:numPr>
      </w:pPr>
      <w:r>
        <w:rPr>
          <w:b/>
          <w:bCs/>
        </w:rPr>
        <w:t xml:space="preserve">“Soaked”</w:t>
      </w:r>
      <w:r>
        <w:rPr>
          <w:b/>
          <w:bCs/>
        </w:rPr>
        <w:t xml:space="preserve">:</w:t>
      </w:r>
      <w:r>
        <w:t xml:space="preserve"> </w:t>
      </w:r>
      <w:r>
        <w:t xml:space="preserve">This word implies deep saturation and intoxication (</w:t>
      </w:r>
      <w:r>
        <w:rPr>
          <w:i/>
          <w:iCs/>
        </w:rPr>
        <w:t xml:space="preserve">asava</w:t>
      </w:r>
      <w:r>
        <w:t xml:space="preserve">). It captures the Buddhist view of attachment as a state of being</w:t>
      </w:r>
      <w:r>
        <w:t xml:space="preserve"> </w:t>
      </w:r>
      <w:r>
        <w:t xml:space="preserve">“drunk”</w:t>
      </w:r>
      <w:r>
        <w:t xml:space="preserve"> </w:t>
      </w:r>
      <w:r>
        <w:t xml:space="preserve">on samsara.</w:t>
      </w:r>
    </w:p>
    <w:p>
      <w:pPr>
        <w:pStyle w:val="Compact"/>
        <w:numPr>
          <w:ilvl w:val="0"/>
          <w:numId w:val="1003"/>
        </w:numPr>
      </w:pPr>
      <w:r>
        <w:rPr>
          <w:b/>
          <w:bCs/>
        </w:rPr>
        <w:t xml:space="preserve">“Precious Toys”</w:t>
      </w:r>
      <w:r>
        <w:rPr>
          <w:b/>
          <w:bCs/>
        </w:rPr>
        <w:t xml:space="preserve">:</w:t>
      </w:r>
      <w:r>
        <w:t xml:space="preserve"> </w:t>
      </w:r>
      <w:r>
        <w:t xml:space="preserve">Rendering the</w:t>
      </w:r>
      <w:r>
        <w:t xml:space="preserve"> </w:t>
      </w:r>
      <w:r>
        <w:rPr>
          <w:i/>
          <w:iCs/>
        </w:rPr>
        <w:t xml:space="preserve">yanas</w:t>
      </w:r>
      <w:r>
        <w:t xml:space="preserve"> </w:t>
      </w:r>
      <w:r>
        <w:t xml:space="preserve">(vehicles) as</w:t>
      </w:r>
      <w:r>
        <w:t xml:space="preserve"> </w:t>
      </w:r>
      <w:r>
        <w:t xml:space="preserve">“toys”</w:t>
      </w:r>
      <w:r>
        <w:t xml:space="preserve"> </w:t>
      </w:r>
      <w:r>
        <w:t xml:space="preserve">or</w:t>
      </w:r>
      <w:r>
        <w:t xml:space="preserve"> </w:t>
      </w:r>
      <w:r>
        <w:t xml:space="preserve">“playthings”</w:t>
      </w:r>
      <w:r>
        <w:t xml:space="preserve"> </w:t>
      </w:r>
      <w:r>
        <w:t xml:space="preserve">(as in the original) highlights the provisional nature of the earlier teachings. They are tools for engagement, not ultimate ends.</w:t>
      </w:r>
    </w:p>
    <w:p>
      <w:pPr>
        <w:pStyle w:val="Compact"/>
        <w:numPr>
          <w:ilvl w:val="0"/>
          <w:numId w:val="1003"/>
        </w:numPr>
      </w:pPr>
      <w:r>
        <w:rPr>
          <w:b/>
          <w:bCs/>
        </w:rPr>
        <w:t xml:space="preserve">The Urgency:</w:t>
      </w:r>
      <w:r>
        <w:t xml:space="preserve"> </w:t>
      </w:r>
      <w:r>
        <w:t xml:space="preserve">The onomatopoeia (</w:t>
      </w:r>
      <w:r>
        <w:t xml:space="preserve">“WHOOSH!”</w:t>
      </w:r>
      <w:r>
        <w:t xml:space="preserve">) creates a sensory immediacy typical of the oral tradition. It makes the danger of</w:t>
      </w:r>
      <w:r>
        <w:t xml:space="preserve"> </w:t>
      </w:r>
      <w:r>
        <w:rPr>
          <w:i/>
          <w:iCs/>
        </w:rPr>
        <w:t xml:space="preserve">samsara</w:t>
      </w:r>
      <w:r>
        <w:t xml:space="preserve"> </w:t>
      </w:r>
      <w:r>
        <w:t xml:space="preserve">felt, not just understood.</w:t>
      </w:r>
    </w:p>
    <w:bookmarkEnd w:id="50"/>
    <w:bookmarkStart w:id="52" w:name="Xc3745702971fb4716c757597f6d278575f51d2e"/>
    <w:p>
      <w:pPr>
        <w:pStyle w:val="Heading3"/>
      </w:pPr>
      <w:r>
        <w:t xml:space="preserve">4.4 Chapter 4: Faith and Understanding –</w:t>
      </w:r>
      <w:r>
        <w:t xml:space="preserve"> </w:t>
      </w:r>
      <w:r>
        <w:t xml:space="preserve">“The Prodigal Son”</w:t>
      </w:r>
    </w:p>
    <w:p>
      <w:pPr>
        <w:pStyle w:val="FirstParagraph"/>
      </w:pPr>
      <w:r>
        <w:rPr>
          <w:b/>
          <w:bCs/>
        </w:rPr>
        <w:t xml:space="preserve">Context:</w:t>
      </w:r>
      <w:r>
        <w:t xml:space="preserve"> </w:t>
      </w:r>
      <w:r>
        <w:t xml:space="preserve">The disciples tell the parable of the poor son who wanders for 50 years, unaware of his wealthy father.</w:t>
      </w:r>
    </w:p>
    <w:p>
      <w:pPr>
        <w:pStyle w:val="BodyText"/>
      </w:pPr>
      <w:r>
        <w:rPr>
          <w:b/>
          <w:bCs/>
        </w:rPr>
        <w:t xml:space="preserve">Translation:</w:t>
      </w:r>
      <w:r>
        <w:t xml:space="preserve"> </w:t>
      </w:r>
      <w:r>
        <w:t xml:space="preserve">Framed as</w:t>
      </w:r>
      <w:r>
        <w:t xml:space="preserve"> </w:t>
      </w:r>
      <w:r>
        <w:t xml:space="preserve">“A Blues Story of Coming Home.”</w:t>
      </w:r>
      <w:r>
        <w:t xml:space="preserve"> </w:t>
      </w:r>
      <w:r>
        <w:t xml:space="preserve">The son is described as</w:t>
      </w:r>
      <w:r>
        <w:t xml:space="preserve"> </w:t>
      </w:r>
      <w:r>
        <w:t xml:space="preserve">“hiring himself out for day labor,”</w:t>
      </w:r>
      <w:r>
        <w:t xml:space="preserve"> </w:t>
      </w:r>
      <w:r>
        <w:t xml:space="preserve">“drifting,”</w:t>
      </w:r>
      <w:r>
        <w:t xml:space="preserve"> </w:t>
      </w:r>
      <w:r>
        <w:t xml:space="preserve">and</w:t>
      </w:r>
      <w:r>
        <w:t xml:space="preserve"> </w:t>
      </w:r>
      <w:r>
        <w:t xml:space="preserve">“falling on hard times.”</w:t>
      </w:r>
      <w:r>
        <w:t xml:space="preserve"> </w:t>
      </w:r>
      <w:r>
        <w:t xml:space="preserve">When he sees his father’s wealth, he thinks:</w:t>
      </w:r>
      <w:r>
        <w:t xml:space="preserve"> </w:t>
      </w:r>
      <w:r>
        <w:t xml:space="preserve">“This ain’t no place for a man like me… Better I go to some poor neighborhood where a man can work with his hands”</w:t>
      </w:r>
      <w:r>
        <w:t xml:space="preserve"> </w:t>
      </w:r>
      <w:r>
        <w:rPr>
          <w:rStyle w:val="FootnoteReference"/>
        </w:rPr>
        <w:footnoteReference w:id="51"/>
      </w:r>
      <w:r>
        <w:t xml:space="preserve">.</w:t>
      </w:r>
    </w:p>
    <w:p>
      <w:pPr>
        <w:pStyle w:val="BodyText"/>
      </w:pPr>
      <w:r>
        <w:rPr>
          <w:b/>
          <w:bCs/>
        </w:rPr>
        <w:t xml:space="preserve">Analysis:</w:t>
      </w:r>
    </w:p>
    <w:p>
      <w:pPr>
        <w:pStyle w:val="Compact"/>
        <w:numPr>
          <w:ilvl w:val="0"/>
          <w:numId w:val="1004"/>
        </w:numPr>
      </w:pPr>
      <w:r>
        <w:rPr>
          <w:b/>
          <w:bCs/>
        </w:rPr>
        <w:t xml:space="preserve">Class and Race:</w:t>
      </w:r>
      <w:r>
        <w:t xml:space="preserve"> </w:t>
      </w:r>
      <w:r>
        <w:t xml:space="preserve">This translation highlights the socio-economic dimension of the parable. The son’s feeling of alienation (</w:t>
      </w:r>
      <w:r>
        <w:t xml:space="preserve">“This ain’t no place for a man like me”</w:t>
      </w:r>
      <w:r>
        <w:t xml:space="preserve">) resonates with the</w:t>
      </w:r>
      <w:r>
        <w:t xml:space="preserve"> </w:t>
      </w:r>
      <w:r>
        <w:t xml:space="preserve">“imposter syndrome”</w:t>
      </w:r>
      <w:r>
        <w:t xml:space="preserve"> </w:t>
      </w:r>
      <w:r>
        <w:t xml:space="preserve">or</w:t>
      </w:r>
      <w:r>
        <w:t xml:space="preserve"> </w:t>
      </w:r>
      <w:r>
        <w:t xml:space="preserve">“double consciousness”</w:t>
      </w:r>
      <w:r>
        <w:t xml:space="preserve"> </w:t>
      </w:r>
      <w:r>
        <w:t xml:space="preserve">described by Du Bois—the feeling of not belonging in the halls of power or wealth.</w:t>
      </w:r>
    </w:p>
    <w:p>
      <w:pPr>
        <w:pStyle w:val="Compact"/>
        <w:numPr>
          <w:ilvl w:val="0"/>
          <w:numId w:val="1004"/>
        </w:numPr>
      </w:pPr>
      <w:r>
        <w:rPr>
          <w:b/>
          <w:bCs/>
        </w:rPr>
        <w:t xml:space="preserve">Dignity:</w:t>
      </w:r>
      <w:r>
        <w:t xml:space="preserve"> </w:t>
      </w:r>
      <w:r>
        <w:t xml:space="preserve">The father’s eventual revelation (</w:t>
      </w:r>
      <w:r>
        <w:t xml:space="preserve">“This is my son”</w:t>
      </w:r>
      <w:r>
        <w:t xml:space="preserve">) becomes a restoration of ontological dignity. For a community historically stripped of lineage and inheritance (slavery), the promise of a</w:t>
      </w:r>
      <w:r>
        <w:t xml:space="preserve"> </w:t>
      </w:r>
      <w:r>
        <w:t xml:space="preserve">“Buddha inheritance”</w:t>
      </w:r>
      <w:r>
        <w:t xml:space="preserve"> </w:t>
      </w:r>
      <w:r>
        <w:t xml:space="preserve">is profoundly liberatory.</w:t>
      </w:r>
    </w:p>
    <w:p>
      <w:pPr>
        <w:pStyle w:val="Compact"/>
        <w:numPr>
          <w:ilvl w:val="0"/>
          <w:numId w:val="1004"/>
        </w:numPr>
      </w:pPr>
      <w:r>
        <w:rPr>
          <w:b/>
          <w:bCs/>
        </w:rPr>
        <w:t xml:space="preserve">“Shoveling Dung”</w:t>
      </w:r>
      <w:r>
        <w:rPr>
          <w:b/>
          <w:bCs/>
        </w:rPr>
        <w:t xml:space="preserve">:</w:t>
      </w:r>
      <w:r>
        <w:t xml:space="preserve"> </w:t>
      </w:r>
      <w:r>
        <w:t xml:space="preserve">The menial labor the son performs is described in earthy terms (</w:t>
      </w:r>
      <w:r>
        <w:t xml:space="preserve">“clearing away dung and trash”</w:t>
      </w:r>
      <w:r>
        <w:t xml:space="preserve">). This validates the dignity of labor while pointing to the spiritual work of clearing away mental defilements (</w:t>
      </w:r>
      <w:r>
        <w:t xml:space="preserve">“trash”</w:t>
      </w:r>
      <w:r>
        <w:t xml:space="preserve">).</w:t>
      </w:r>
    </w:p>
    <w:bookmarkEnd w:id="52"/>
    <w:bookmarkStart w:id="54" w:name="Xa0559b32dea305eed8074e345e4a6339405cb1c"/>
    <w:p>
      <w:pPr>
        <w:pStyle w:val="Heading3"/>
      </w:pPr>
      <w:r>
        <w:t xml:space="preserve">4.5 Chapter 12: Devadatta –</w:t>
      </w:r>
      <w:r>
        <w:t xml:space="preserve"> </w:t>
      </w:r>
      <w:r>
        <w:t xml:space="preserve">“The Enemy as Teacher”</w:t>
      </w:r>
    </w:p>
    <w:p>
      <w:pPr>
        <w:pStyle w:val="FirstParagraph"/>
      </w:pPr>
      <w:r>
        <w:rPr>
          <w:b/>
          <w:bCs/>
        </w:rPr>
        <w:t xml:space="preserve">Context:</w:t>
      </w:r>
      <w:r>
        <w:t xml:space="preserve"> </w:t>
      </w:r>
      <w:r>
        <w:t xml:space="preserve">The Buddha reveals that his evil cousin Devadatta was his teacher in a past life.</w:t>
      </w:r>
    </w:p>
    <w:p>
      <w:pPr>
        <w:pStyle w:val="BodyText"/>
      </w:pPr>
      <w:r>
        <w:rPr>
          <w:b/>
          <w:bCs/>
        </w:rPr>
        <w:t xml:space="preserve">Translation:</w:t>
      </w:r>
      <w:r>
        <w:t xml:space="preserve"> </w:t>
      </w:r>
      <w:r>
        <w:t xml:space="preserve">The story takes on the flavor of a Blues ballad about</w:t>
      </w:r>
      <w:r>
        <w:t xml:space="preserve"> </w:t>
      </w:r>
      <w:r>
        <w:t xml:space="preserve">“paying dues.”</w:t>
      </w:r>
      <w:r>
        <w:t xml:space="preserve"> </w:t>
      </w:r>
      <w:r>
        <w:t xml:space="preserve">The King says:</w:t>
      </w:r>
      <w:r>
        <w:t xml:space="preserve"> </w:t>
      </w:r>
      <w:r>
        <w:t xml:space="preserve">“I even used my own body as his bed… And my body never got tired… All for the sake of the Dharma”</w:t>
      </w:r>
      <w:r>
        <w:t xml:space="preserve"> </w:t>
      </w:r>
      <w:r>
        <w:rPr>
          <w:rStyle w:val="FootnoteReference"/>
        </w:rPr>
        <w:footnoteReference w:id="53"/>
      </w:r>
      <w:r>
        <w:t xml:space="preserve">.</w:t>
      </w:r>
    </w:p>
    <w:p>
      <w:pPr>
        <w:pStyle w:val="BodyText"/>
      </w:pPr>
      <w:r>
        <w:rPr>
          <w:b/>
          <w:bCs/>
        </w:rPr>
        <w:t xml:space="preserve">Analysis:</w:t>
      </w:r>
    </w:p>
    <w:p>
      <w:pPr>
        <w:pStyle w:val="Compact"/>
        <w:numPr>
          <w:ilvl w:val="0"/>
          <w:numId w:val="1005"/>
        </w:numPr>
      </w:pPr>
      <w:r>
        <w:rPr>
          <w:b/>
          <w:bCs/>
        </w:rPr>
        <w:t xml:space="preserve">Paying Dues:</w:t>
      </w:r>
      <w:r>
        <w:t xml:space="preserve"> </w:t>
      </w:r>
      <w:r>
        <w:t xml:space="preserve">In the Blues tradition, one must</w:t>
      </w:r>
      <w:r>
        <w:t xml:space="preserve"> </w:t>
      </w:r>
      <w:r>
        <w:t xml:space="preserve">“pay dues”</w:t>
      </w:r>
      <w:r>
        <w:t xml:space="preserve"> </w:t>
      </w:r>
      <w:r>
        <w:t xml:space="preserve">(suffer struggle) to gain mastery. Devadatta is the</w:t>
      </w:r>
      <w:r>
        <w:t xml:space="preserve"> </w:t>
      </w:r>
      <w:r>
        <w:t xml:space="preserve">“hard teacher,”</w:t>
      </w:r>
      <w:r>
        <w:t xml:space="preserve"> </w:t>
      </w:r>
      <w:r>
        <w:t xml:space="preserve">a figure well-known in the</w:t>
      </w:r>
      <w:r>
        <w:t xml:space="preserve"> </w:t>
      </w:r>
      <w:r>
        <w:t xml:space="preserve">“school of hard knocks.”</w:t>
      </w:r>
    </w:p>
    <w:p>
      <w:pPr>
        <w:pStyle w:val="Compact"/>
        <w:numPr>
          <w:ilvl w:val="0"/>
          <w:numId w:val="1005"/>
        </w:numPr>
      </w:pPr>
      <w:r>
        <w:rPr>
          <w:b/>
          <w:bCs/>
        </w:rPr>
        <w:t xml:space="preserve">Non-Dualism:</w:t>
      </w:r>
      <w:r>
        <w:t xml:space="preserve"> </w:t>
      </w:r>
      <w:r>
        <w:t xml:space="preserve">The text elevates Devadatta from a villain to a</w:t>
      </w:r>
      <w:r>
        <w:t xml:space="preserve"> </w:t>
      </w:r>
      <w:r>
        <w:t xml:space="preserve">“good spiritual friend”</w:t>
      </w:r>
      <w:r>
        <w:t xml:space="preserve"> </w:t>
      </w:r>
      <w:r>
        <w:t xml:space="preserve">(</w:t>
      </w:r>
      <w:r>
        <w:rPr>
          <w:i/>
          <w:iCs/>
        </w:rPr>
        <w:t xml:space="preserve">kalyanamitra</w:t>
      </w:r>
      <w:r>
        <w:t xml:space="preserve">). This aligns with the non-dual wisdom of the Blues, where joy and pain are intertwined, and the source of suffering (the</w:t>
      </w:r>
      <w:r>
        <w:t xml:space="preserve"> </w:t>
      </w:r>
      <w:r>
        <w:t xml:space="preserve">“bad man”</w:t>
      </w:r>
      <w:r>
        <w:t xml:space="preserve"> </w:t>
      </w:r>
      <w:r>
        <w:t xml:space="preserve">or oppressor) can become the catalyst for transcendence.</w:t>
      </w:r>
    </w:p>
    <w:bookmarkEnd w:id="54"/>
    <w:bookmarkStart w:id="56" w:name="X80bfb8d206843356090d0936c51f0824bf5a598"/>
    <w:p>
      <w:pPr>
        <w:pStyle w:val="Heading3"/>
      </w:pPr>
      <w:r>
        <w:t xml:space="preserve">4.6 Chapter 16: The Buddha’s Lifespan –</w:t>
      </w:r>
      <w:r>
        <w:t xml:space="preserve"> </w:t>
      </w:r>
      <w:r>
        <w:t xml:space="preserve">“That’s the Truth”</w:t>
      </w:r>
    </w:p>
    <w:p>
      <w:pPr>
        <w:pStyle w:val="FirstParagraph"/>
      </w:pPr>
      <w:r>
        <w:rPr>
          <w:b/>
          <w:bCs/>
        </w:rPr>
        <w:t xml:space="preserve">Context:</w:t>
      </w:r>
      <w:r>
        <w:t xml:space="preserve"> </w:t>
      </w:r>
      <w:r>
        <w:t xml:space="preserve">The Buddha reveals he did not actually become enlightened recently, but eons ago.</w:t>
      </w:r>
    </w:p>
    <w:p>
      <w:pPr>
        <w:pStyle w:val="BodyText"/>
      </w:pPr>
      <w:r>
        <w:rPr>
          <w:b/>
          <w:bCs/>
        </w:rPr>
        <w:t xml:space="preserve">Translation:</w:t>
      </w:r>
      <w:r>
        <w:t xml:space="preserve"> </w:t>
      </w:r>
      <w:r>
        <w:t xml:space="preserve">“I actually became a Buddha countless, boundless… ages ago. That’s the truth.”</w:t>
      </w:r>
      <w:r>
        <w:t xml:space="preserve"> </w:t>
      </w:r>
      <w:r>
        <w:t xml:space="preserve">He explains his apparent death as</w:t>
      </w:r>
      <w:r>
        <w:t xml:space="preserve"> </w:t>
      </w:r>
      <w:r>
        <w:t xml:space="preserve">“medicine”</w:t>
      </w:r>
      <w:r>
        <w:t xml:space="preserve"> </w:t>
      </w:r>
      <w:r>
        <w:t xml:space="preserve">for those who would take him for granted</w:t>
      </w:r>
      <w:r>
        <w:t xml:space="preserve"> </w:t>
      </w:r>
      <w:r>
        <w:rPr>
          <w:rStyle w:val="FootnoteReference"/>
        </w:rPr>
        <w:footnoteReference w:id="55"/>
      </w:r>
      <w:r>
        <w:t xml:space="preserve">.</w:t>
      </w:r>
    </w:p>
    <w:p>
      <w:pPr>
        <w:pStyle w:val="BodyText"/>
      </w:pPr>
      <w:r>
        <w:rPr>
          <w:b/>
          <w:bCs/>
        </w:rPr>
        <w:t xml:space="preserve">Analysis:</w:t>
      </w:r>
    </w:p>
    <w:p>
      <w:pPr>
        <w:pStyle w:val="Compact"/>
        <w:numPr>
          <w:ilvl w:val="0"/>
          <w:numId w:val="1006"/>
        </w:numPr>
      </w:pPr>
      <w:r>
        <w:rPr>
          <w:b/>
          <w:bCs/>
        </w:rPr>
        <w:t xml:space="preserve">“That’s the Truth”</w:t>
      </w:r>
      <w:r>
        <w:rPr>
          <w:b/>
          <w:bCs/>
        </w:rPr>
        <w:t xml:space="preserve">:</w:t>
      </w:r>
      <w:r>
        <w:t xml:space="preserve"> </w:t>
      </w:r>
      <w:r>
        <w:t xml:space="preserve">This phrase functions like the</w:t>
      </w:r>
      <w:r>
        <w:t xml:space="preserve"> </w:t>
      </w:r>
      <w:r>
        <w:t xml:space="preserve">“Amen”</w:t>
      </w:r>
      <w:r>
        <w:t xml:space="preserve"> </w:t>
      </w:r>
      <w:r>
        <w:t xml:space="preserve">or</w:t>
      </w:r>
      <w:r>
        <w:t xml:space="preserve"> </w:t>
      </w:r>
      <w:r>
        <w:t xml:space="preserve">“Verily, verily”</w:t>
      </w:r>
      <w:r>
        <w:t xml:space="preserve"> </w:t>
      </w:r>
      <w:r>
        <w:t xml:space="preserve">of the Black Church. It grounds the metaphysical claim in personal testimony.</w:t>
      </w:r>
    </w:p>
    <w:p>
      <w:pPr>
        <w:pStyle w:val="Compact"/>
        <w:numPr>
          <w:ilvl w:val="0"/>
          <w:numId w:val="1006"/>
        </w:numPr>
      </w:pPr>
      <w:r>
        <w:rPr>
          <w:b/>
          <w:bCs/>
        </w:rPr>
        <w:t xml:space="preserve">“Medicine”</w:t>
      </w:r>
      <w:r>
        <w:rPr>
          <w:b/>
          <w:bCs/>
        </w:rPr>
        <w:t xml:space="preserve">:</w:t>
      </w:r>
      <w:r>
        <w:t xml:space="preserve"> </w:t>
      </w:r>
      <w:r>
        <w:t xml:space="preserve">The metaphor of the Buddha as a doctor leaving medicine for poisoned children resonates with the community’s reliance on folk healing and the figure of Jesus as the</w:t>
      </w:r>
      <w:r>
        <w:t xml:space="preserve"> </w:t>
      </w:r>
      <w:r>
        <w:t xml:space="preserve">“Doctor in the sickroom.”</w:t>
      </w:r>
      <w:r>
        <w:t xml:space="preserve"> </w:t>
      </w:r>
      <w:r>
        <w:t xml:space="preserve">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racism and oppression.</w:t>
      </w:r>
    </w:p>
    <w:bookmarkEnd w:id="56"/>
    <w:bookmarkEnd w:id="57"/>
    <w:bookmarkStart w:id="64"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59"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w:t>
      </w:r>
      <w:r>
        <w:t xml:space="preserve"> </w:t>
      </w:r>
      <w:r>
        <w:rPr>
          <w:rStyle w:val="FootnoteReference"/>
        </w:rPr>
        <w:footnoteReference w:id="58"/>
      </w:r>
      <w:r>
        <w:t xml:space="preserve">.</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59"/>
    <w:bookmarkStart w:id="61"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w:t>
      </w:r>
      <w:r>
        <w:t xml:space="preserve"> </w:t>
      </w:r>
      <w:r>
        <w:rPr>
          <w:rStyle w:val="FootnoteReference"/>
        </w:rPr>
        <w:footnoteReference w:id="60"/>
      </w:r>
      <w:r>
        <w:t xml:space="preserve">.</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61"/>
    <w:bookmarkStart w:id="63"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w:t>
      </w:r>
      <w:r>
        <w:t xml:space="preserve"> </w:t>
      </w:r>
      <w:r>
        <w:rPr>
          <w:rStyle w:val="FootnoteReference"/>
        </w:rPr>
        <w:footnoteReference w:id="62"/>
      </w:r>
      <w:r>
        <w:t xml:space="preserve">.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63"/>
    <w:bookmarkEnd w:id="64"/>
    <w:bookmarkStart w:id="69" w:name="Xcf5c7ffd0e06a40ac33a8c21256b6d1a1b8e0ba"/>
    <w:p>
      <w:pPr>
        <w:pStyle w:val="Heading2"/>
      </w:pPr>
      <w:r>
        <w:t xml:space="preserve">6. African-American Buddhism: Reclaiming the Dharma</w:t>
      </w:r>
    </w:p>
    <w:p>
      <w:pPr>
        <w:pStyle w:val="FirstParagraph"/>
      </w:pPr>
      <w:r>
        <w:t xml:space="preserve">The translation must also be situated within the growing field of African-American Buddhism.</w:t>
      </w:r>
    </w:p>
    <w:bookmarkStart w:id="66"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Black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racist other) and the Buddhist concept of</w:t>
      </w:r>
      <w:r>
        <w:t xml:space="preserve"> </w:t>
      </w:r>
      <w:r>
        <w:rPr>
          <w:i/>
          <w:iCs/>
        </w:rPr>
        <w:t xml:space="preserve">anatta</w:t>
      </w:r>
      <w:r>
        <w:t xml:space="preserve"> </w:t>
      </w:r>
      <w:r>
        <w:t xml:space="preserve">(non-self). Johnson argues that the Black experience of having one’s identity dismantled by slavery necessitates a reconstruction of the self that is fluid, resilient, and interconnected—a</w:t>
      </w:r>
      <w:r>
        <w:t xml:space="preserve"> </w:t>
      </w:r>
      <w:r>
        <w:t xml:space="preserve">“Buddhist”</w:t>
      </w:r>
      <w:r>
        <w:t xml:space="preserve"> </w:t>
      </w:r>
      <w:r>
        <w:t xml:space="preserve">self by necessity</w:t>
      </w:r>
      <w:r>
        <w:t xml:space="preserve"> </w:t>
      </w:r>
      <w:r>
        <w:rPr>
          <w:rStyle w:val="FootnoteReference"/>
        </w:rPr>
        <w:footnoteReference w:id="65"/>
      </w:r>
      <w:r>
        <w:t xml:space="preserve">.</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bookmarkEnd w:id="66"/>
    <w:bookmarkStart w:id="68"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w:t>
      </w:r>
      <w:r>
        <w:t xml:space="preserve"> </w:t>
      </w:r>
      <w:r>
        <w:rPr>
          <w:rStyle w:val="FootnoteReference"/>
        </w:rPr>
        <w:footnoteReference w:id="67"/>
      </w:r>
      <w:r>
        <w:t xml:space="preserve">.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68"/>
    <w:bookmarkEnd w:id="69"/>
    <w:bookmarkStart w:id="74" w:name="critical-reception-and-ethics"/>
    <w:p>
      <w:pPr>
        <w:pStyle w:val="Heading2"/>
      </w:pPr>
      <w:r>
        <w:t xml:space="preserve">7. Critical Reception and Ethics</w:t>
      </w:r>
    </w:p>
    <w:bookmarkStart w:id="71" w:name="the-question-of-appropriation"/>
    <w:p>
      <w:pPr>
        <w:pStyle w:val="Heading3"/>
      </w:pPr>
      <w:r>
        <w:t xml:space="preserve">7.1 The Question of Appropriation</w:t>
      </w:r>
    </w:p>
    <w:p>
      <w:pPr>
        <w:pStyle w:val="FirstParagraph"/>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w:t>
      </w:r>
      <w:r>
        <w:t xml:space="preserve"> </w:t>
      </w:r>
      <w:r>
        <w:rPr>
          <w:rStyle w:val="FootnoteReference"/>
        </w:rPr>
        <w:footnoteReference w:id="70"/>
      </w:r>
      <w:r>
        <w:t xml:space="preserve">.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71"/>
    <w:bookmarkStart w:id="73"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rPr>
          <w:rStyle w:val="FootnoteReference"/>
        </w:rPr>
        <w:footnoteReference w:id="72"/>
      </w:r>
      <w:r>
        <w:t xml:space="preserve">.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terms in translation to ensure understanding. It is not</w:t>
      </w:r>
      <w:r>
        <w:t xml:space="preserve"> </w:t>
      </w:r>
      <w:r>
        <w:t xml:space="preserve">“dumbing down”</w:t>
      </w:r>
      <w:r>
        <w:t xml:space="preserve">; it is</w:t>
      </w:r>
      <w:r>
        <w:t xml:space="preserve"> </w:t>
      </w:r>
      <w:r>
        <w:t xml:space="preserve">“unpacking.”</w:t>
      </w:r>
    </w:p>
    <w:bookmarkEnd w:id="73"/>
    <w:bookmarkEnd w:id="74"/>
    <w:bookmarkStart w:id="77" w:name="X74814a57f8b644cbc88a4232809d5b1b945412d"/>
    <w:p>
      <w:pPr>
        <w:pStyle w:val="Heading2"/>
      </w:pPr>
      <w:r>
        <w:t xml:space="preserve">8. Conclusion: The Universal Door of the Blues</w:t>
      </w:r>
    </w:p>
    <w:p>
      <w:pPr>
        <w:pStyle w:val="FirstParagraph"/>
      </w:pPr>
      <w:r>
        <w:t xml:space="preserve">The translation of the</w:t>
      </w:r>
      <w:r>
        <w:t xml:space="preserve"> </w:t>
      </w:r>
      <w:r>
        <w:rPr>
          <w:i/>
          <w:iCs/>
        </w:rPr>
        <w:t xml:space="preserve">Lotus Sutra</w:t>
      </w:r>
      <w:r>
        <w:t xml:space="preserve"> </w:t>
      </w:r>
      <w:r>
        <w:t xml:space="preserve">into African-American Blues vernacular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African-American studies, it highlights the global resonance of Black culture and its capacity to absorb and transform global wisdom traditions.</w:t>
      </w:r>
    </w:p>
    <w:p>
      <w:pPr>
        <w:pStyle w:val="BodyText"/>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75"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75"/>
    <w:bookmarkStart w:id="76"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76"/>
    <w:bookmarkEnd w:id="77"/>
    <w:bookmarkStart w:id="78"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78"/>
    <w:bookmarkStart w:id="79"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79"/>
    <w:bookmarkStart w:id="80" w:name="references"/>
    <w:p>
      <w:pPr>
        <w:pStyle w:val="Heading2"/>
      </w:pPr>
      <w:r>
        <w:t xml:space="preserve">References</w:t>
      </w:r>
    </w:p>
    <w:p>
      <w:pPr>
        <w:pStyle w:val="FirstParagraph"/>
      </w:pPr>
      <w:r>
        <w:t xml:space="preserve">Reference omitted for blind review.</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hooks, bell. 2000.</w:t>
      </w:r>
      <w:r>
        <w:t xml:space="preserve"> </w:t>
      </w:r>
      <w:r>
        <w:rPr>
          <w:i/>
          <w:iCs/>
        </w:rPr>
        <w:t xml:space="preserve">All About Love: New Visions</w:t>
      </w:r>
      <w:r>
        <w:t xml:space="preserve">. New York: William Morrow.</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Maultsby, Portia K. 1990.</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edited by Joseph E. Holloway, 185–210. Bloomington: Indiana University Press.</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p>
      <w:pPr>
        <w:pStyle w:val="BodyText"/>
      </w:pPr>
      <w:r>
        <w:t xml:space="preserve">Zürcher, Erik. 2007.</w:t>
      </w:r>
      <w:r>
        <w:t xml:space="preserve"> </w:t>
      </w:r>
      <w:r>
        <w:rPr>
          <w:i/>
          <w:iCs/>
        </w:rPr>
        <w:t xml:space="preserve">The Buddhist Conquest of China: The Spread and Adaptation of Buddhism in Early Medieval China</w:t>
      </w:r>
      <w:r>
        <w:t xml:space="preserve">. 3rd ed. Leiden: Brill.</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Eugene A. Nida,</w:t>
      </w:r>
      <w:r>
        <w:t xml:space="preserve"> </w:t>
      </w:r>
      <w:r>
        <w:rPr>
          <w:i/>
          <w:iCs/>
        </w:rPr>
        <w:t xml:space="preserve">Toward a Science of Translating</w:t>
      </w:r>
      <w:r>
        <w:t xml:space="preserve"> </w:t>
      </w:r>
      <w:r>
        <w:t xml:space="preserve">(Leiden: Brill, 1964); Lawrence Venuti,</w:t>
      </w:r>
      <w:r>
        <w:t xml:space="preserve"> </w:t>
      </w:r>
      <w:r>
        <w:rPr>
          <w:i/>
          <w:iCs/>
        </w:rPr>
        <w:t xml:space="preserve">The Translator’s Invisibility: A History of Translation</w:t>
      </w:r>
      <w:r>
        <w:t xml:space="preserve"> </w:t>
      </w:r>
      <w:r>
        <w:t xml:space="preserve">(London: Routledge, 1995).</w:t>
      </w:r>
    </w:p>
  </w:footnote>
  <w:footnote w:id="10">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McGraw-Hill, 1976); Ralph Ellison,</w:t>
      </w:r>
      <w:r>
        <w:t xml:space="preserve"> </w:t>
      </w:r>
      <w:r>
        <w:rPr>
          <w:i/>
          <w:iCs/>
        </w:rPr>
        <w:t xml:space="preserve">Shadow and Act</w:t>
      </w:r>
      <w:r>
        <w:t xml:space="preserve"> </w:t>
      </w:r>
      <w:r>
        <w:t xml:space="preserve">(New York: Random House, 1964); Amiri Baraka (LeRoi Jones),</w:t>
      </w:r>
      <w:r>
        <w:t xml:space="preserve"> </w:t>
      </w:r>
      <w:r>
        <w:rPr>
          <w:i/>
          <w:iCs/>
        </w:rPr>
        <w:t xml:space="preserve">Blues People: Negro Music in White America</w:t>
      </w:r>
      <w:r>
        <w:t xml:space="preserve"> </w:t>
      </w:r>
      <w:r>
        <w:t xml:space="preserve">(New York: William Morrow, 1963).</w:t>
      </w:r>
    </w:p>
  </w:footnote>
  <w:footnote w:id="11">
    <w:p>
      <w:pPr>
        <w:pStyle w:val="FootnoteText"/>
      </w:pPr>
      <w:r>
        <w:rPr>
          <w:rStyle w:val="FootnoteReference"/>
        </w:rPr>
        <w:footnoteRef/>
      </w:r>
      <w:r>
        <w:t xml:space="preserve"> </w:t>
      </w:r>
      <w:r>
        <w:t xml:space="preserve">Jan Willis,</w:t>
      </w:r>
      <w:r>
        <w:t xml:space="preserve"> </w:t>
      </w:r>
      <w:r>
        <w:rPr>
          <w:i/>
          <w:iCs/>
        </w:rPr>
        <w:t xml:space="preserve">Dreaming Me: Black, Baptist, and Buddhist</w:t>
      </w:r>
      <w:r>
        <w:t xml:space="preserve"> </w:t>
      </w:r>
      <w:r>
        <w:t xml:space="preserve">(New York: Riverhead Books, 2001).</w:t>
      </w:r>
    </w:p>
  </w:footnote>
  <w:footnote w:id="12">
    <w:p>
      <w:pPr>
        <w:pStyle w:val="FootnoteText"/>
      </w:pPr>
      <w:r>
        <w:rPr>
          <w:rStyle w:val="FootnoteReference"/>
        </w:rPr>
        <w:footnoteRef/>
      </w:r>
      <w:r>
        <w:t xml:space="preserve"> </w:t>
      </w:r>
      <w:r>
        <w:t xml:space="preserve">Charles Johnson,</w:t>
      </w:r>
      <w:r>
        <w:t xml:space="preserve"> </w:t>
      </w:r>
      <w:r>
        <w:rPr>
          <w:i/>
          <w:iCs/>
        </w:rPr>
        <w:t xml:space="preserve">Turning the Wheel: Essays on Buddhism and Writing</w:t>
      </w:r>
      <w:r>
        <w:t xml:space="preserve"> </w:t>
      </w:r>
      <w:r>
        <w:t xml:space="preserve">(New York: Scribner, 2003).</w:t>
      </w:r>
    </w:p>
  </w:footnote>
  <w:footnote w:id="13">
    <w:p>
      <w:pPr>
        <w:pStyle w:val="FootnoteText"/>
      </w:pPr>
      <w:r>
        <w:rPr>
          <w:rStyle w:val="FootnoteReference"/>
        </w:rPr>
        <w:footnoteRef/>
      </w:r>
      <w:r>
        <w:t xml:space="preserve"> </w:t>
      </w:r>
      <w:r>
        <w:t xml:space="preserve">bell hooks,</w:t>
      </w:r>
      <w:r>
        <w:t xml:space="preserve"> </w:t>
      </w:r>
      <w:r>
        <w:rPr>
          <w:i/>
          <w:iCs/>
        </w:rPr>
        <w:t xml:space="preserve">All About Love: New Visions</w:t>
      </w:r>
      <w:r>
        <w:t xml:space="preserve"> </w:t>
      </w:r>
      <w:r>
        <w:t xml:space="preserve">(New York: William Morrow, 2000).</w:t>
      </w:r>
    </w:p>
  </w:footnote>
  <w:footnote w:id="15">
    <w:p>
      <w:pPr>
        <w:pStyle w:val="FootnoteText"/>
      </w:pPr>
      <w:r>
        <w:rPr>
          <w:rStyle w:val="FootnoteReference"/>
        </w:rPr>
        <w:footnoteRef/>
      </w:r>
      <w:r>
        <w:t xml:space="preserve"> </w:t>
      </w:r>
      <w:r>
        <w:t xml:space="preserve">K. R. Norman,</w:t>
      </w:r>
      <w:r>
        <w:t xml:space="preserve"> </w:t>
      </w:r>
      <w:r>
        <w:rPr>
          <w:i/>
          <w:iCs/>
        </w:rPr>
        <w:t xml:space="preserve">Pāli Literature</w:t>
      </w:r>
      <w:r>
        <w:t xml:space="preserve"> </w:t>
      </w:r>
      <w:r>
        <w:t xml:space="preserve">(Wiesbaden: Otto Harrassowitz, 1983).</w:t>
      </w:r>
    </w:p>
  </w:footnote>
  <w:footnote w:id="16">
    <w:p>
      <w:pPr>
        <w:pStyle w:val="FootnoteText"/>
      </w:pPr>
      <w:r>
        <w:rPr>
          <w:rStyle w:val="FootnoteReference"/>
        </w:rPr>
        <w:footnoteRef/>
      </w:r>
      <w:r>
        <w:t xml:space="preserve"> </w:t>
      </w:r>
      <w:r>
        <w:t xml:space="preserve">Sylvie Hureau,</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w:t>
      </w:r>
      <w:r>
        <w:t xml:space="preserve">, ed. John Lagerwey and Lü Pengzhi (Leiden: Brill, 2010), 741–774.</w:t>
      </w:r>
    </w:p>
  </w:footnote>
  <w:footnote w:id="17">
    <w:p>
      <w:pPr>
        <w:pStyle w:val="FootnoteText"/>
      </w:pPr>
      <w:r>
        <w:rPr>
          <w:rStyle w:val="FootnoteReference"/>
        </w:rPr>
        <w:footnoteRef/>
      </w:r>
      <w:r>
        <w:t xml:space="preserve"> </w:t>
      </w:r>
      <w:r>
        <w:t xml:space="preserve">William Author,</w:t>
      </w:r>
      <w:r>
        <w:t xml:space="preserve"> </w:t>
      </w:r>
      <w:r>
        <w:t xml:space="preserve">“The Lotus Sutra: A Blues Interpretation”</w:t>
      </w:r>
      <w:r>
        <w:t xml:space="preserve"> </w:t>
      </w:r>
      <w:r>
        <w:t xml:space="preserve">(Unpublished manuscript, 2025).</w:t>
      </w:r>
    </w:p>
  </w:footnote>
  <w:footnote w:id="19">
    <w:p>
      <w:pPr>
        <w:pStyle w:val="FootnoteText"/>
      </w:pPr>
      <w:r>
        <w:rPr>
          <w:rStyle w:val="FootnoteReference"/>
        </w:rPr>
        <w:footnoteRef/>
      </w:r>
      <w:r>
        <w:t xml:space="preserve"> </w:t>
      </w:r>
      <w:r>
        <w:t xml:space="preserve">Erik Zürcher,</w:t>
      </w:r>
      <w:r>
        <w:t xml:space="preserve"> </w:t>
      </w:r>
      <w:r>
        <w:rPr>
          <w:i/>
          <w:iCs/>
        </w:rPr>
        <w:t xml:space="preserve">The Buddhist Conquest of China: The Spread and Adaptation of Buddhism in Early Medieval China</w:t>
      </w:r>
      <w:r>
        <w:t xml:space="preserve">, 3rd ed. (Leiden: Brill, 2007).</w:t>
      </w:r>
    </w:p>
  </w:footnote>
  <w:footnote w:id="20">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21">
    <w:p>
      <w:pPr>
        <w:pStyle w:val="FootnoteText"/>
      </w:pPr>
      <w:r>
        <w:rPr>
          <w:rStyle w:val="FootnoteReference"/>
        </w:rPr>
        <w:footnoteRef/>
      </w:r>
      <w:r>
        <w:t xml:space="preserve"> </w:t>
      </w:r>
      <w:r>
        <w:t xml:space="preserve">Manyuan Hua,</w:t>
      </w:r>
      <w:r>
        <w:t xml:space="preserve"> </w:t>
      </w:r>
      <w:r>
        <w:t xml:space="preserve">“Reinterpreting The Wén-Zhì Debate in the Education of Translation History,”</w:t>
      </w:r>
      <w:r>
        <w:t xml:space="preserve"> </w:t>
      </w:r>
      <w:r>
        <w:rPr>
          <w:i/>
          <w:iCs/>
        </w:rPr>
        <w:t xml:space="preserve">International Journal of Languages, Literature and Linguistics</w:t>
      </w:r>
      <w:r>
        <w:t xml:space="preserve"> </w:t>
      </w:r>
      <w:r>
        <w:t xml:space="preserve">4, no. 4 (2018): 277–283.</w:t>
      </w:r>
    </w:p>
  </w:footnote>
  <w:footnote w:id="23">
    <w:p>
      <w:pPr>
        <w:pStyle w:val="FootnoteText"/>
      </w:pPr>
      <w:r>
        <w:rPr>
          <w:rStyle w:val="FootnoteReference"/>
        </w:rPr>
        <w:footnoteRef/>
      </w:r>
      <w:r>
        <w:t xml:space="preserve"> </w:t>
      </w:r>
      <w:r>
        <w:t xml:space="preserve">Nida,</w:t>
      </w:r>
      <w:r>
        <w:t xml:space="preserve"> </w:t>
      </w:r>
      <w:r>
        <w:rPr>
          <w:i/>
          <w:iCs/>
        </w:rPr>
        <w:t xml:space="preserve">Toward a Science</w:t>
      </w:r>
      <w:r>
        <w:t xml:space="preserve">.</w:t>
      </w:r>
    </w:p>
  </w:footnote>
  <w:footnote w:id="24">
    <w:p>
      <w:pPr>
        <w:pStyle w:val="FootnoteText"/>
      </w:pPr>
      <w:r>
        <w:rPr>
          <w:rStyle w:val="FootnoteReference"/>
        </w:rPr>
        <w:footnoteRef/>
      </w:r>
      <w:r>
        <w:t xml:space="preserve"> </w:t>
      </w:r>
      <w:r>
        <w:t xml:space="preserve">Eugene A. Nida and Charles R. Taber,</w:t>
      </w:r>
      <w:r>
        <w:t xml:space="preserve"> </w:t>
      </w:r>
      <w:r>
        <w:rPr>
          <w:i/>
          <w:iCs/>
        </w:rPr>
        <w:t xml:space="preserve">The Theory and Practice of Translation</w:t>
      </w:r>
      <w:r>
        <w:t xml:space="preserve"> </w:t>
      </w:r>
      <w:r>
        <w:t xml:space="preserve">(Leiden: Brill, 1969).</w:t>
      </w:r>
    </w:p>
  </w:footnote>
  <w:footnote w:id="25">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27">
    <w:p>
      <w:pPr>
        <w:pStyle w:val="FootnoteText"/>
      </w:pPr>
      <w:r>
        <w:rPr>
          <w:rStyle w:val="FootnoteReference"/>
        </w:rPr>
        <w:footnoteRef/>
      </w:r>
      <w:r>
        <w:t xml:space="preserve"> </w:t>
      </w:r>
      <w:r>
        <w:t xml:space="preserve">Venuti,</w:t>
      </w:r>
      <w:r>
        <w:t xml:space="preserve"> </w:t>
      </w:r>
      <w:r>
        <w:rPr>
          <w:i/>
          <w:iCs/>
        </w:rPr>
        <w:t xml:space="preserve">Translator’s Invisibility</w:t>
      </w:r>
      <w:r>
        <w:t xml:space="preserve">.</w:t>
      </w:r>
    </w:p>
  </w:footnote>
  <w:footnote w:id="28">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29">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32">
    <w:p>
      <w:pPr>
        <w:pStyle w:val="FootnoteText"/>
      </w:pPr>
      <w:r>
        <w:rPr>
          <w:rStyle w:val="FootnoteReference"/>
        </w:rPr>
        <w:footnoteRef/>
      </w:r>
      <w:r>
        <w:t xml:space="preserve"> </w:t>
      </w:r>
      <w:r>
        <w:t xml:space="preserve">Murray,</w:t>
      </w:r>
      <w:r>
        <w:t xml:space="preserve"> </w:t>
      </w:r>
      <w:r>
        <w:rPr>
          <w:i/>
          <w:iCs/>
        </w:rPr>
        <w:t xml:space="preserve">Stomping the Blues</w:t>
      </w:r>
      <w:r>
        <w:t xml:space="preserve">.</w:t>
      </w:r>
    </w:p>
  </w:footnote>
  <w:footnote w:id="33">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35">
    <w:p>
      <w:pPr>
        <w:pStyle w:val="FootnoteText"/>
      </w:pPr>
      <w:r>
        <w:rPr>
          <w:rStyle w:val="FootnoteReference"/>
        </w:rPr>
        <w:footnoteRef/>
      </w:r>
      <w:r>
        <w:t xml:space="preserve"> </w:t>
      </w:r>
      <w:r>
        <w:t xml:space="preserve">Ellison,</w:t>
      </w:r>
      <w:r>
        <w:t xml:space="preserve"> </w:t>
      </w:r>
      <w:r>
        <w:rPr>
          <w:i/>
          <w:iCs/>
        </w:rPr>
        <w:t xml:space="preserve">Shadow and Act</w:t>
      </w:r>
      <w:r>
        <w:t xml:space="preserve">.</w:t>
      </w:r>
    </w:p>
  </w:footnote>
  <w:footnote w:id="36">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38">
    <w:p>
      <w:pPr>
        <w:pStyle w:val="FootnoteText"/>
      </w:pPr>
      <w:r>
        <w:rPr>
          <w:rStyle w:val="FootnoteReference"/>
        </w:rPr>
        <w:footnoteRef/>
      </w:r>
      <w:r>
        <w:t xml:space="preserve"> </w:t>
      </w:r>
      <w:r>
        <w:t xml:space="preserve">Portia K. Maultsby,</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 Joseph E. Holloway (Bloomington: Indiana University Press, 1990), 185–210.</w:t>
      </w:r>
    </w:p>
  </w:footnote>
  <w:footnote w:id="39">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41">
    <w:p>
      <w:pPr>
        <w:pStyle w:val="FootnoteText"/>
      </w:pPr>
      <w:r>
        <w:rPr>
          <w:rStyle w:val="FootnoteReference"/>
        </w:rPr>
        <w:footnoteRef/>
      </w:r>
      <w:r>
        <w:t xml:space="preserve"> </w:t>
      </w:r>
      <w:r>
        <w:t xml:space="preserve">Baraka,</w:t>
      </w:r>
      <w:r>
        <w:t xml:space="preserve"> </w:t>
      </w:r>
      <w:r>
        <w:rPr>
          <w:i/>
          <w:iCs/>
        </w:rPr>
        <w:t xml:space="preserve">Blues People</w:t>
      </w:r>
      <w:r>
        <w:t xml:space="preserve">.</w:t>
      </w:r>
    </w:p>
  </w:footnote>
  <w:footnote w:id="44">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46">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47">
    <w:p>
      <w:pPr>
        <w:pStyle w:val="FootnoteText"/>
      </w:pPr>
      <w:r>
        <w:rPr>
          <w:rStyle w:val="FootnoteReference"/>
        </w:rPr>
        <w:footnoteRef/>
      </w:r>
      <w:r>
        <w:t xml:space="preserve"> </w:t>
      </w:r>
      <w:r>
        <w:t xml:space="preserve">April Leigh Kinkead,</w:t>
      </w:r>
      <w:r>
        <w:t xml:space="preserve"> </w:t>
      </w:r>
      <w:r>
        <w:t xml:space="preserve">“Black Rhetoric: The Art of Thinking Being”</w:t>
      </w:r>
      <w:r>
        <w:t xml:space="preserve"> </w:t>
      </w:r>
      <w:r>
        <w:t xml:space="preserve">(PhD diss., University of Texas at Arlington, 2015).</w:t>
      </w:r>
    </w:p>
  </w:footnote>
  <w:footnote w:id="49">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51">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53">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55">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58">
    <w:p>
      <w:pPr>
        <w:pStyle w:val="FootnoteText"/>
      </w:pPr>
      <w:r>
        <w:rPr>
          <w:rStyle w:val="FootnoteReference"/>
        </w:rPr>
        <w:footnoteRef/>
      </w:r>
      <w:r>
        <w:t xml:space="preserve"> </w:t>
      </w:r>
      <w:r>
        <w:t xml:space="preserve">Sea Island Translation Team,</w:t>
      </w:r>
      <w:r>
        <w:t xml:space="preserve"> </w:t>
      </w:r>
      <w:r>
        <w:rPr>
          <w:i/>
          <w:iCs/>
        </w:rPr>
        <w:t xml:space="preserve">De Nyew Testament</w:t>
      </w:r>
      <w:r>
        <w:t xml:space="preserve"> </w:t>
      </w:r>
      <w:r>
        <w:t xml:space="preserve">(New York: American Bible Society, 2005).</w:t>
      </w:r>
    </w:p>
  </w:footnote>
  <w:footnote w:id="60">
    <w:p>
      <w:pPr>
        <w:pStyle w:val="FootnoteText"/>
      </w:pPr>
      <w:r>
        <w:rPr>
          <w:rStyle w:val="FootnoteReference"/>
        </w:rPr>
        <w:footnoteRef/>
      </w:r>
      <w:r>
        <w:t xml:space="preserve"> </w:t>
      </w:r>
      <w:r>
        <w:t xml:space="preserve">James H. Cone,</w:t>
      </w:r>
      <w:r>
        <w:t xml:space="preserve"> </w:t>
      </w:r>
      <w:r>
        <w:rPr>
          <w:i/>
          <w:iCs/>
        </w:rPr>
        <w:t xml:space="preserve">A Black Theology of Liberation</w:t>
      </w:r>
      <w:r>
        <w:t xml:space="preserve"> </w:t>
      </w:r>
      <w:r>
        <w:t xml:space="preserve">(Philadelphia: Lippincott, 1970).</w:t>
      </w:r>
    </w:p>
  </w:footnote>
  <w:footnote w:id="62">
    <w:p>
      <w:pPr>
        <w:pStyle w:val="FootnoteText"/>
      </w:pPr>
      <w:r>
        <w:rPr>
          <w:rStyle w:val="FootnoteReference"/>
        </w:rPr>
        <w:footnoteRef/>
      </w:r>
      <w:r>
        <w:t xml:space="preserve"> </w:t>
      </w:r>
      <w:r>
        <w:t xml:space="preserve">Kiley Jon Clark,</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footnote>
  <w:footnote w:id="65">
    <w:p>
      <w:pPr>
        <w:pStyle w:val="FootnoteText"/>
      </w:pPr>
      <w:r>
        <w:rPr>
          <w:rStyle w:val="FootnoteReference"/>
        </w:rPr>
        <w:footnoteRef/>
      </w:r>
      <w:r>
        <w:t xml:space="preserve"> </w:t>
      </w:r>
      <w:r>
        <w:t xml:space="preserve">Johnson,</w:t>
      </w:r>
      <w:r>
        <w:t xml:space="preserve"> </w:t>
      </w:r>
      <w:r>
        <w:rPr>
          <w:i/>
          <w:iCs/>
        </w:rPr>
        <w:t xml:space="preserve">Turning the Wheel</w:t>
      </w:r>
      <w:r>
        <w:t xml:space="preserve">.</w:t>
      </w:r>
    </w:p>
  </w:footnote>
  <w:footnote w:id="67">
    <w:p>
      <w:pPr>
        <w:pStyle w:val="FootnoteText"/>
      </w:pPr>
      <w:r>
        <w:rPr>
          <w:rStyle w:val="FootnoteReference"/>
        </w:rPr>
        <w:footnoteRef/>
      </w:r>
      <w:r>
        <w:t xml:space="preserve"> </w:t>
      </w:r>
      <w:r>
        <w:t xml:space="preserve">Willis,</w:t>
      </w:r>
      <w:r>
        <w:t xml:space="preserve"> </w:t>
      </w:r>
      <w:r>
        <w:rPr>
          <w:i/>
          <w:iCs/>
        </w:rPr>
        <w:t xml:space="preserve">Dreaming Me</w:t>
      </w:r>
      <w:r>
        <w:t xml:space="preserve">.</w:t>
      </w:r>
    </w:p>
  </w:footnote>
  <w:footnote w:id="70">
    <w:p>
      <w:pPr>
        <w:pStyle w:val="FootnoteText"/>
      </w:pPr>
      <w:r>
        <w:rPr>
          <w:rStyle w:val="FootnoteReference"/>
        </w:rPr>
        <w:footnoteRef/>
      </w:r>
      <w:r>
        <w:t xml:space="preserve"> </w:t>
      </w:r>
      <w:r>
        <w:t xml:space="preserve">Paul Oliver,</w:t>
      </w:r>
      <w:r>
        <w:t xml:space="preserve"> </w:t>
      </w:r>
      <w:r>
        <w:rPr>
          <w:i/>
          <w:iCs/>
        </w:rPr>
        <w:t xml:space="preserve">Blues Fell This Morning: Meaning in the Blues</w:t>
      </w:r>
      <w:r>
        <w:t xml:space="preserve">, 2nd ed. (Cambridge: Cambridge University Press, 1990).</w:t>
      </w:r>
    </w:p>
  </w:footnote>
  <w:footnote w:id="72">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2026-01-02T23:00:27Z</dcterms:created>
  <dcterms:modified xsi:type="dcterms:W3CDTF">2026-01-02T23:00:27Z</dcterms:modified>
</cp:coreProperties>
</file>

<file path=docProps/custom.xml><?xml version="1.0" encoding="utf-8"?>
<Properties xmlns="http://schemas.openxmlformats.org/officeDocument/2006/custom-properties" xmlns:vt="http://schemas.openxmlformats.org/officeDocument/2006/docPropsVTypes"/>
</file>