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William Altig</w:t>
      </w:r>
      <w:r>
        <w:br/>
      </w:r>
      <w:r>
        <w:t xml:space="preserve">Independent Scholar</w:t>
      </w:r>
      <w:r>
        <w:br/>
      </w:r>
      <w:r>
        <w:t xml:space="preserve">Houston, TX</w:t>
      </w:r>
      <w:r>
        <w:br/>
      </w:r>
      <w:r>
        <w:t xml:space="preserve">Email: dwaltig@gmail.com</w:t>
      </w:r>
    </w:p>
    <w:p>
      <w:pPr>
        <w:pStyle w:val="BodyText"/>
      </w:pPr>
      <w:r>
        <w:rPr>
          <w:b/>
          <w:bCs/>
        </w:rPr>
        <w:t xml:space="preserve">Word Count:</w:t>
      </w:r>
      <w:r>
        <w:t xml:space="preserve"> </w:t>
      </w:r>
      <w:r>
        <w:t xml:space="preserve">6,027</w:t>
      </w:r>
    </w:p>
    <w:p>
      <w:r>
        <w:pict>
          <v:rect style="width:0;height:1.5pt" o:hralign="center" o:hrstd="t" o:hr="t"/>
        </w:pict>
      </w:r>
    </w:p>
    <w:bookmarkStart w:id="14"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w:t>
      </w:r>
      <w:r>
        <w:t xml:space="preserve"> </w:t>
      </w:r>
      <w:r>
        <w:rPr>
          <w:rStyle w:val="FootnoteReference"/>
        </w:rPr>
        <w:footnoteReference w:id="9"/>
      </w:r>
      <w:r>
        <w:t xml:space="preserve">, Blues philosophy</w:t>
      </w:r>
      <w:r>
        <w:t xml:space="preserve"> </w:t>
      </w:r>
      <w:r>
        <w:rPr>
          <w:rStyle w:val="FootnoteReference"/>
        </w:rPr>
        <w:footnoteReference w:id="10"/>
      </w:r>
      <w:r>
        <w:t xml:space="preserve">, and scholarship on African-American Buddhism—</w:t>
      </w:r>
      <w:r>
        <w:rPr>
          <w:rStyle w:val="FootnoteReference"/>
        </w:rPr>
        <w:footnoteReference w:id="11"/>
      </w:r>
      <w:r>
        <w:t xml:space="preserve">,</w:t>
      </w:r>
      <w:r>
        <w:t xml:space="preserve"> </w:t>
      </w:r>
      <w:r>
        <w:rPr>
          <w:rStyle w:val="FootnoteReference"/>
        </w:rPr>
        <w:footnoteReference w:id="12"/>
      </w:r>
      <w:r>
        <w:t xml:space="preserve">, and</w:t>
      </w:r>
      <w:r>
        <w:t xml:space="preserve"> </w:t>
      </w:r>
      <w:r>
        <w:rPr>
          <w:rStyle w:val="FootnoteReference"/>
        </w:rPr>
        <w:footnoteReference w:id="13"/>
      </w:r>
      <w:r>
        <w:t xml:space="preserve">—the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14"/>
    <w:bookmarkStart w:id="18"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w:t>
      </w:r>
      <w:r>
        <w:t xml:space="preserve"> </w:t>
      </w:r>
      <w:r>
        <w:rPr>
          <w:rStyle w:val="FootnoteReference"/>
        </w:rPr>
        <w:footnoteReference w:id="15"/>
      </w:r>
      <w:r>
        <w:t xml:space="preserve">.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r>
        <w:t xml:space="preserve"> </w:t>
      </w:r>
      <w:r>
        <w:rPr>
          <w:rStyle w:val="FootnoteReference"/>
        </w:rPr>
        <w:footnoteReference w:id="16"/>
      </w:r>
      <w:r>
        <w:t xml:space="preserve">.</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r>
        <w:t xml:space="preserve"> </w:t>
      </w:r>
      <w:r>
        <w:rPr>
          <w:rStyle w:val="FootnoteReference"/>
        </w:rPr>
        <w:footnoteReference w:id="17"/>
      </w:r>
      <w:r>
        <w:t xml:space="preserve">.</w:t>
      </w:r>
    </w:p>
    <w:p>
      <w:pPr>
        <w:pStyle w:val="BodyText"/>
      </w:pPr>
      <w:r>
        <w:t xml:space="preserve">I analyze this work through the multiple lenses of translation studies, African-American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African-American experience not merely as a subject of sociological inquiry, but as a locus of theological and philosophical authority capable of holding and illuminating the deepest truths of the Buddhist tradition.</w:t>
      </w:r>
    </w:p>
    <w:bookmarkEnd w:id="18"/>
    <w:bookmarkStart w:id="31"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22"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w:t>
      </w:r>
      <w:r>
        <w:t xml:space="preserve"> </w:t>
      </w:r>
      <w:r>
        <w:rPr>
          <w:rStyle w:val="FootnoteReference"/>
        </w:rPr>
        <w:footnoteReference w:id="19"/>
      </w:r>
      <w:r>
        <w:t xml:space="preserve">.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r>
        <w:t xml:space="preserve"> </w:t>
      </w:r>
      <w:r>
        <w:rPr>
          <w:rStyle w:val="FootnoteReference"/>
        </w:rPr>
        <w:footnoteReference w:id="20"/>
      </w:r>
      <w:r>
        <w:t xml:space="preserve">.</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r>
        <w:t xml:space="preserve"> </w:t>
      </w:r>
      <w:r>
        <w:rPr>
          <w:rStyle w:val="FootnoteReference"/>
        </w:rPr>
        <w:footnoteReference w:id="21"/>
      </w:r>
      <w:r>
        <w:t xml:space="preserve">.</w:t>
      </w:r>
    </w:p>
    <w:bookmarkEnd w:id="22"/>
    <w:bookmarkStart w:id="26"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r>
        <w:t xml:space="preserve"> </w:t>
      </w:r>
      <w:r>
        <w:rPr>
          <w:rStyle w:val="FootnoteReference"/>
        </w:rPr>
        <w:footnoteReference w:id="23"/>
      </w:r>
      <w:r>
        <w:t xml:space="preserve">.</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r>
        <w:t xml:space="preserve"> </w:t>
      </w:r>
      <w:r>
        <w:rPr>
          <w:rStyle w:val="FootnoteReference"/>
        </w:rPr>
        <w:footnoteReference w:id="24"/>
      </w:r>
      <w:r>
        <w:t xml:space="preserv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rPr>
          <w:rStyle w:val="FootnoteReference"/>
        </w:rPr>
        <w:footnoteReference w:id="25"/>
      </w:r>
      <w:r>
        <w:t xml:space="preserve">, it uses culturally resonant imagery to replicate the original text’s soteriological impact.</w:t>
      </w:r>
    </w:p>
    <w:bookmarkEnd w:id="26"/>
    <w:bookmarkStart w:id="30"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w:t>
      </w:r>
      <w:r>
        <w:t xml:space="preserve"> </w:t>
      </w:r>
      <w:r>
        <w:rPr>
          <w:rStyle w:val="FootnoteReference"/>
        </w:rPr>
        <w:footnoteReference w:id="27"/>
      </w:r>
      <w:r>
        <w:t xml:space="preserve">.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w:t>
      </w:r>
      <w:r>
        <w:t xml:space="preserve"> </w:t>
      </w:r>
      <w:r>
        <w:rPr>
          <w:rStyle w:val="FootnoteReference"/>
        </w:rPr>
        <w:footnoteReference w:id="28"/>
      </w:r>
      <w:r>
        <w:t xml:space="preserve">.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rPr>
          <w:rStyle w:val="FootnoteReference"/>
        </w:rPr>
        <w:footnoteReference w:id="29"/>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30"/>
    <w:bookmarkEnd w:id="31"/>
    <w:bookmarkStart w:id="43"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34"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r>
        <w:t xml:space="preserve"> </w:t>
      </w:r>
      <w:r>
        <w:rPr>
          <w:rStyle w:val="FootnoteReference"/>
        </w:rPr>
        <w:footnoteReference w:id="32"/>
      </w:r>
      <w:r>
        <w:t xml:space="preserv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rPr>
          <w:rStyle w:val="FootnoteReference"/>
        </w:rPr>
        <w:footnoteReference w:id="33"/>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34"/>
    <w:bookmarkStart w:id="37"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rPr>
          <w:rStyle w:val="FootnoteReference"/>
        </w:rPr>
        <w:footnoteReference w:id="35"/>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rPr>
          <w:rStyle w:val="FootnoteReference"/>
        </w:rPr>
        <w:footnoteReference w:id="36"/>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37"/>
    <w:bookmarkStart w:id="40"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r>
        <w:t xml:space="preserve"> </w:t>
      </w:r>
      <w:r>
        <w:rPr>
          <w:rStyle w:val="FootnoteReference"/>
        </w:rPr>
        <w:footnoteReference w:id="38"/>
      </w:r>
      <w:r>
        <w:t xml:space="preserv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r>
        <w:t xml:space="preserve"> </w:t>
      </w:r>
      <w:r>
        <w:rPr>
          <w:rStyle w:val="FootnoteReference"/>
        </w:rPr>
        <w:footnoteReference w:id="39"/>
      </w:r>
      <w:r>
        <w:t xml:space="preserve">.</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40"/>
    <w:bookmarkStart w:id="42"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r>
        <w:t xml:space="preserve"> </w:t>
      </w:r>
      <w:r>
        <w:rPr>
          <w:rStyle w:val="FootnoteReference"/>
        </w:rPr>
        <w:footnoteReference w:id="41"/>
      </w:r>
      <w:r>
        <w:t xml:space="preserve">.</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42"/>
    <w:bookmarkEnd w:id="43"/>
    <w:bookmarkStart w:id="57"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45"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rPr>
          <w:rStyle w:val="FootnoteReference"/>
        </w:rPr>
        <w:footnoteReference w:id="44"/>
      </w:r>
      <w:r>
        <w:t xml:space="preserve">.</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45"/>
    <w:bookmarkStart w:id="48"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 </w:t>
      </w:r>
      <w:r>
        <w:rPr>
          <w:rStyle w:val="FootnoteReference"/>
        </w:rPr>
        <w:footnoteReference w:id="46"/>
      </w:r>
      <w:r>
        <w:t xml:space="preserve">.</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w:t>
      </w:r>
      <w:r>
        <w:t xml:space="preserve"> </w:t>
      </w:r>
      <w:r>
        <w:rPr>
          <w:rStyle w:val="FootnoteReference"/>
        </w:rPr>
        <w:footnoteReference w:id="47"/>
      </w:r>
      <w:r>
        <w:t xml:space="preserve">.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48"/>
    <w:bookmarkStart w:id="50"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w:t>
      </w:r>
      <w:r>
        <w:t xml:space="preserve"> </w:t>
      </w:r>
      <w:r>
        <w:rPr>
          <w:rStyle w:val="FootnoteReference"/>
        </w:rPr>
        <w:footnoteReference w:id="49"/>
      </w:r>
      <w:r>
        <w:t xml:space="preserve">.</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50"/>
    <w:bookmarkStart w:id="52"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 </w:t>
      </w:r>
      <w:r>
        <w:rPr>
          <w:rStyle w:val="FootnoteReference"/>
        </w:rPr>
        <w:footnoteReference w:id="51"/>
      </w:r>
      <w:r>
        <w:t xml:space="preserve">.</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52"/>
    <w:bookmarkStart w:id="54"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 </w:t>
      </w:r>
      <w:r>
        <w:rPr>
          <w:rStyle w:val="FootnoteReference"/>
        </w:rPr>
        <w:footnoteReference w:id="53"/>
      </w:r>
      <w:r>
        <w:t xml:space="preserve">.</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54"/>
    <w:bookmarkStart w:id="56"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w:t>
      </w:r>
      <w:r>
        <w:t xml:space="preserve"> </w:t>
      </w:r>
      <w:r>
        <w:rPr>
          <w:rStyle w:val="FootnoteReference"/>
        </w:rPr>
        <w:footnoteReference w:id="55"/>
      </w:r>
      <w:r>
        <w:t xml:space="preserve">.</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56"/>
    <w:bookmarkEnd w:id="57"/>
    <w:bookmarkStart w:id="64"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59"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r>
        <w:t xml:space="preserve"> </w:t>
      </w:r>
      <w:r>
        <w:rPr>
          <w:rStyle w:val="FootnoteReference"/>
        </w:rPr>
        <w:footnoteReference w:id="58"/>
      </w:r>
      <w:r>
        <w:t xml:space="preserve">.</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59"/>
    <w:bookmarkStart w:id="61"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r>
        <w:t xml:space="preserve"> </w:t>
      </w:r>
      <w:r>
        <w:rPr>
          <w:rStyle w:val="FootnoteReference"/>
        </w:rPr>
        <w:footnoteReference w:id="60"/>
      </w:r>
      <w:r>
        <w:t xml:space="preserv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61"/>
    <w:bookmarkStart w:id="63"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w:t>
      </w:r>
      <w:r>
        <w:t xml:space="preserve"> </w:t>
      </w:r>
      <w:r>
        <w:rPr>
          <w:rStyle w:val="FootnoteReference"/>
        </w:rPr>
        <w:footnoteReference w:id="62"/>
      </w:r>
      <w:r>
        <w:t xml:space="preserve">.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63"/>
    <w:bookmarkEnd w:id="64"/>
    <w:bookmarkStart w:id="69"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66"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w:t>
      </w:r>
      <w:r>
        <w:t xml:space="preserve"> </w:t>
      </w:r>
      <w:r>
        <w:rPr>
          <w:rStyle w:val="FootnoteReference"/>
        </w:rPr>
        <w:footnoteReference w:id="65"/>
      </w:r>
      <w:r>
        <w:t xml:space="preserve">.</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66"/>
    <w:bookmarkStart w:id="68"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w:t>
      </w:r>
      <w:r>
        <w:t xml:space="preserve"> </w:t>
      </w:r>
      <w:r>
        <w:rPr>
          <w:rStyle w:val="FootnoteReference"/>
        </w:rPr>
        <w:footnoteReference w:id="67"/>
      </w:r>
      <w:r>
        <w:t xml:space="preserve">.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68"/>
    <w:bookmarkEnd w:id="69"/>
    <w:bookmarkStart w:id="74" w:name="critical-reception-and-ethics"/>
    <w:p>
      <w:pPr>
        <w:pStyle w:val="Heading2"/>
      </w:pPr>
      <w:r>
        <w:t xml:space="preserve">7. Critical Reception and Ethics</w:t>
      </w:r>
    </w:p>
    <w:bookmarkStart w:id="71"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is not African-American, does this constitute</w:t>
      </w:r>
      <w:r>
        <w:t xml:space="preserve"> </w:t>
      </w:r>
      <w:r>
        <w:t xml:space="preserve">“blackface”</w:t>
      </w:r>
      <w:r>
        <w:t xml:space="preserve"> </w:t>
      </w:r>
      <w:r>
        <w:t xml:space="preserve">translation?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w:t>
      </w:r>
      <w:r>
        <w:t xml:space="preserve"> </w:t>
      </w:r>
      <w:r>
        <w:rPr>
          <w:rStyle w:val="FootnoteReference"/>
        </w:rPr>
        <w:footnoteReference w:id="70"/>
      </w:r>
      <w:r>
        <w:t xml:space="preserve">.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71"/>
    <w:bookmarkStart w:id="73"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rPr>
          <w:rStyle w:val="FootnoteReference"/>
        </w:rPr>
        <w:footnoteReference w:id="72"/>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73"/>
    <w:bookmarkEnd w:id="74"/>
    <w:bookmarkStart w:id="77"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75"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75"/>
    <w:bookmarkStart w:id="76"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76"/>
    <w:bookmarkEnd w:id="77"/>
    <w:bookmarkStart w:id="78"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78"/>
    <w:bookmarkStart w:id="79"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79"/>
    <w:bookmarkStart w:id="80"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 African-American epistemology 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80"/>
    <w:bookmarkStart w:id="81" w:name="references"/>
    <w:p>
      <w:pPr>
        <w:pStyle w:val="Heading2"/>
      </w:pPr>
      <w:r>
        <w:t xml:space="preserve">References</w:t>
      </w:r>
    </w:p>
    <w:p>
      <w:pPr>
        <w:pStyle w:val="FirstParagraph"/>
      </w:pPr>
      <w:r>
        <w:t xml:space="preserve">Altig, William. 2025.</w:t>
      </w:r>
      <w:r>
        <w:t xml:space="preserve"> </w:t>
      </w:r>
      <w:r>
        <w:rPr>
          <w:i/>
          <w:iCs/>
        </w:rPr>
        <w:t xml:space="preserve">The Lotus Sutra: A Blues Interpretation</w:t>
      </w:r>
      <w:r>
        <w:t xml:space="preserve">. Unpublished manuscript.</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hooks, bell. 2000.</w:t>
      </w:r>
      <w:r>
        <w:t xml:space="preserve"> </w:t>
      </w:r>
      <w:r>
        <w:rPr>
          <w:i/>
          <w:iCs/>
        </w:rPr>
        <w:t xml:space="preserve">All About Love: New Visions</w:t>
      </w:r>
      <w:r>
        <w:t xml:space="preserve">. New York: William Morrow.</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Maultsby, Portia K. 1990.</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edited by Joseph E. Holloway, 185–210. Bloomington: Indiana University Press.</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p>
      <w:pPr>
        <w:pStyle w:val="BodyText"/>
      </w:pPr>
      <w:r>
        <w:t xml:space="preserve">Zürcher, Erik. 2007.</w:t>
      </w:r>
      <w:r>
        <w:t xml:space="preserve"> </w:t>
      </w:r>
      <w:r>
        <w:rPr>
          <w:i/>
          <w:iCs/>
        </w:rPr>
        <w:t xml:space="preserve">The Buddhist Conquest of China: The Spread and Adaptation of Buddhism in Early Medieval China</w:t>
      </w:r>
      <w:r>
        <w:t xml:space="preserve">. 3rd ed. Leiden: Brill.</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Eugene A. Nida,</w:t>
      </w:r>
      <w:r>
        <w:t xml:space="preserve"> </w:t>
      </w:r>
      <w:r>
        <w:rPr>
          <w:i/>
          <w:iCs/>
        </w:rPr>
        <w:t xml:space="preserve">Toward a Science of Translating</w:t>
      </w:r>
      <w:r>
        <w:t xml:space="preserve"> </w:t>
      </w:r>
      <w:r>
        <w:t xml:space="preserve">(Leiden: Brill, 1964); Lawrence Venuti,</w:t>
      </w:r>
      <w:r>
        <w:t xml:space="preserve"> </w:t>
      </w:r>
      <w:r>
        <w:rPr>
          <w:i/>
          <w:iCs/>
        </w:rPr>
        <w:t xml:space="preserve">The Translator’s Invisibility: A History of Translation</w:t>
      </w:r>
      <w:r>
        <w:t xml:space="preserve"> </w:t>
      </w:r>
      <w:r>
        <w:t xml:space="preserve">(London: Routledge, 1995).</w:t>
      </w:r>
    </w:p>
  </w:footnote>
  <w:footnote w:id="10">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McGraw-Hill, 1976); Ralph Ellison,</w:t>
      </w:r>
      <w:r>
        <w:t xml:space="preserve"> </w:t>
      </w:r>
      <w:r>
        <w:rPr>
          <w:i/>
          <w:iCs/>
        </w:rPr>
        <w:t xml:space="preserve">Shadow and Act</w:t>
      </w:r>
      <w:r>
        <w:t xml:space="preserve"> </w:t>
      </w:r>
      <w:r>
        <w:t xml:space="preserve">(New York: Random House, 1964); Amiri Baraka (LeRoi Jones),</w:t>
      </w:r>
      <w:r>
        <w:t xml:space="preserve"> </w:t>
      </w:r>
      <w:r>
        <w:rPr>
          <w:i/>
          <w:iCs/>
        </w:rPr>
        <w:t xml:space="preserve">Blues People: Negro Music in White America</w:t>
      </w:r>
      <w:r>
        <w:t xml:space="preserve"> </w:t>
      </w:r>
      <w:r>
        <w:t xml:space="preserve">(New York: William Morrow, 1963).</w:t>
      </w:r>
    </w:p>
  </w:footnote>
  <w:footnote w:id="11">
    <w:p>
      <w:pPr>
        <w:pStyle w:val="FootnoteText"/>
      </w:pPr>
      <w:r>
        <w:rPr>
          <w:rStyle w:val="FootnoteReference"/>
        </w:rPr>
        <w:footnoteRef/>
      </w:r>
      <w:r>
        <w:t xml:space="preserve"> </w:t>
      </w:r>
      <w:r>
        <w:t xml:space="preserve">Jan Willis,</w:t>
      </w:r>
      <w:r>
        <w:t xml:space="preserve"> </w:t>
      </w:r>
      <w:r>
        <w:rPr>
          <w:i/>
          <w:iCs/>
        </w:rPr>
        <w:t xml:space="preserve">Dreaming Me: Black, Baptist, and Buddhist</w:t>
      </w:r>
      <w:r>
        <w:t xml:space="preserve"> </w:t>
      </w:r>
      <w:r>
        <w:t xml:space="preserve">(New York: Riverhead Books, 2001).</w:t>
      </w:r>
    </w:p>
  </w:footnote>
  <w:footnote w:id="12">
    <w:p>
      <w:pPr>
        <w:pStyle w:val="FootnoteText"/>
      </w:pPr>
      <w:r>
        <w:rPr>
          <w:rStyle w:val="FootnoteReference"/>
        </w:rPr>
        <w:footnoteRef/>
      </w:r>
      <w:r>
        <w:t xml:space="preserve"> </w:t>
      </w:r>
      <w:r>
        <w:t xml:space="preserve">Charles Johnson,</w:t>
      </w:r>
      <w:r>
        <w:t xml:space="preserve"> </w:t>
      </w:r>
      <w:r>
        <w:rPr>
          <w:i/>
          <w:iCs/>
        </w:rPr>
        <w:t xml:space="preserve">Turning the Wheel: Essays on Buddhism and Writing</w:t>
      </w:r>
      <w:r>
        <w:t xml:space="preserve"> </w:t>
      </w:r>
      <w:r>
        <w:t xml:space="preserve">(New York: Scribner, 2003).</w:t>
      </w:r>
    </w:p>
  </w:footnote>
  <w:footnote w:id="13">
    <w:p>
      <w:pPr>
        <w:pStyle w:val="FootnoteText"/>
      </w:pPr>
      <w:r>
        <w:rPr>
          <w:rStyle w:val="FootnoteReference"/>
        </w:rPr>
        <w:footnoteRef/>
      </w:r>
      <w:r>
        <w:t xml:space="preserve"> </w:t>
      </w:r>
      <w:r>
        <w:t xml:space="preserve">bell hooks,</w:t>
      </w:r>
      <w:r>
        <w:t xml:space="preserve"> </w:t>
      </w:r>
      <w:r>
        <w:rPr>
          <w:i/>
          <w:iCs/>
        </w:rPr>
        <w:t xml:space="preserve">All About Love: New Visions</w:t>
      </w:r>
      <w:r>
        <w:t xml:space="preserve"> </w:t>
      </w:r>
      <w:r>
        <w:t xml:space="preserve">(New York: William Morrow, 2000).</w:t>
      </w:r>
    </w:p>
  </w:footnote>
  <w:footnote w:id="15">
    <w:p>
      <w:pPr>
        <w:pStyle w:val="FootnoteText"/>
      </w:pPr>
      <w:r>
        <w:rPr>
          <w:rStyle w:val="FootnoteReference"/>
        </w:rPr>
        <w:footnoteRef/>
      </w:r>
      <w:r>
        <w:t xml:space="preserve"> </w:t>
      </w:r>
      <w:r>
        <w:t xml:space="preserve">K. R. Norman,</w:t>
      </w:r>
      <w:r>
        <w:t xml:space="preserve"> </w:t>
      </w:r>
      <w:r>
        <w:rPr>
          <w:i/>
          <w:iCs/>
        </w:rPr>
        <w:t xml:space="preserve">Pāli Literature</w:t>
      </w:r>
      <w:r>
        <w:t xml:space="preserve"> </w:t>
      </w:r>
      <w:r>
        <w:t xml:space="preserve">(Wiesbaden: Otto Harrassowitz, 1983).</w:t>
      </w:r>
    </w:p>
  </w:footnote>
  <w:footnote w:id="16">
    <w:p>
      <w:pPr>
        <w:pStyle w:val="FootnoteText"/>
      </w:pPr>
      <w:r>
        <w:rPr>
          <w:rStyle w:val="FootnoteReference"/>
        </w:rPr>
        <w:footnoteRef/>
      </w:r>
      <w:r>
        <w:t xml:space="preserve"> </w:t>
      </w:r>
      <w:r>
        <w:t xml:space="preserve">Sylvie Hureau,</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w:t>
      </w:r>
      <w:r>
        <w:t xml:space="preserve">, ed. John Lagerwey and Lü Pengzhi (Leiden: Brill, 2010), 741–774.</w:t>
      </w:r>
    </w:p>
  </w:footnote>
  <w:footnote w:id="17">
    <w:p>
      <w:pPr>
        <w:pStyle w:val="FootnoteText"/>
      </w:pPr>
      <w:r>
        <w:rPr>
          <w:rStyle w:val="FootnoteReference"/>
        </w:rPr>
        <w:footnoteRef/>
      </w:r>
      <w:r>
        <w:t xml:space="preserve"> </w:t>
      </w:r>
      <w:r>
        <w:t xml:space="preserve">William Altig,</w:t>
      </w:r>
      <w:r>
        <w:t xml:space="preserve"> </w:t>
      </w:r>
      <w:r>
        <w:t xml:space="preserve">“The Lotus Sutra: A Blues Interpretation”</w:t>
      </w:r>
      <w:r>
        <w:t xml:space="preserve"> </w:t>
      </w:r>
      <w:r>
        <w:t xml:space="preserve">(Unpublished manuscript, 2025).</w:t>
      </w:r>
    </w:p>
  </w:footnote>
  <w:footnote w:id="19">
    <w:p>
      <w:pPr>
        <w:pStyle w:val="FootnoteText"/>
      </w:pPr>
      <w:r>
        <w:rPr>
          <w:rStyle w:val="FootnoteReference"/>
        </w:rPr>
        <w:footnoteRef/>
      </w:r>
      <w:r>
        <w:t xml:space="preserve"> </w:t>
      </w:r>
      <w:r>
        <w:t xml:space="preserve">Erik Zürcher,</w:t>
      </w:r>
      <w:r>
        <w:t xml:space="preserve"> </w:t>
      </w:r>
      <w:r>
        <w:rPr>
          <w:i/>
          <w:iCs/>
        </w:rPr>
        <w:t xml:space="preserve">The Buddhist Conquest of China: The Spread and Adaptation of Buddhism in Early Medieval China</w:t>
      </w:r>
      <w:r>
        <w:t xml:space="preserve">, 3rd ed. (Leiden: Brill, 2007).</w:t>
      </w:r>
    </w:p>
  </w:footnote>
  <w:footnote w:id="20">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21">
    <w:p>
      <w:pPr>
        <w:pStyle w:val="FootnoteText"/>
      </w:pPr>
      <w:r>
        <w:rPr>
          <w:rStyle w:val="FootnoteReference"/>
        </w:rPr>
        <w:footnoteRef/>
      </w:r>
      <w:r>
        <w:t xml:space="preserve"> </w:t>
      </w:r>
      <w:r>
        <w:t xml:space="preserve">Manyuan Hua,</w:t>
      </w:r>
      <w:r>
        <w:t xml:space="preserve"> </w:t>
      </w:r>
      <w:r>
        <w:t xml:space="preserve">“Reinterpreting The Wén-Zhì Debate in the Education of Translation History,”</w:t>
      </w:r>
      <w:r>
        <w:t xml:space="preserve"> </w:t>
      </w:r>
      <w:r>
        <w:rPr>
          <w:i/>
          <w:iCs/>
        </w:rPr>
        <w:t xml:space="preserve">International Journal of Languages, Literature and Linguistics</w:t>
      </w:r>
      <w:r>
        <w:t xml:space="preserve"> </w:t>
      </w:r>
      <w:r>
        <w:t xml:space="preserve">4, no. 4 (2018): 277–283.</w:t>
      </w:r>
    </w:p>
  </w:footnote>
  <w:footnote w:id="23">
    <w:p>
      <w:pPr>
        <w:pStyle w:val="FootnoteText"/>
      </w:pPr>
      <w:r>
        <w:rPr>
          <w:rStyle w:val="FootnoteReference"/>
        </w:rPr>
        <w:footnoteRef/>
      </w:r>
      <w:r>
        <w:t xml:space="preserve"> </w:t>
      </w:r>
      <w:r>
        <w:t xml:space="preserve">Nida,</w:t>
      </w:r>
      <w:r>
        <w:t xml:space="preserve"> </w:t>
      </w:r>
      <w:r>
        <w:rPr>
          <w:i/>
          <w:iCs/>
        </w:rPr>
        <w:t xml:space="preserve">Toward a Science</w:t>
      </w:r>
      <w:r>
        <w:t xml:space="preserve">.</w:t>
      </w:r>
    </w:p>
  </w:footnote>
  <w:footnote w:id="24">
    <w:p>
      <w:pPr>
        <w:pStyle w:val="FootnoteText"/>
      </w:pPr>
      <w:r>
        <w:rPr>
          <w:rStyle w:val="FootnoteReference"/>
        </w:rPr>
        <w:footnoteRef/>
      </w:r>
      <w:r>
        <w:t xml:space="preserve"> </w:t>
      </w:r>
      <w:r>
        <w:t xml:space="preserve">Eugene A. Nida and Charles R. Taber,</w:t>
      </w:r>
      <w:r>
        <w:t xml:space="preserve"> </w:t>
      </w:r>
      <w:r>
        <w:rPr>
          <w:i/>
          <w:iCs/>
        </w:rPr>
        <w:t xml:space="preserve">The Theory and Practice of Translation</w:t>
      </w:r>
      <w:r>
        <w:t xml:space="preserve"> </w:t>
      </w:r>
      <w:r>
        <w:t xml:space="preserve">(Leiden: Brill, 1969).</w:t>
      </w:r>
    </w:p>
  </w:footnote>
  <w:footnote w:id="25">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27">
    <w:p>
      <w:pPr>
        <w:pStyle w:val="FootnoteText"/>
      </w:pPr>
      <w:r>
        <w:rPr>
          <w:rStyle w:val="FootnoteReference"/>
        </w:rPr>
        <w:footnoteRef/>
      </w:r>
      <w:r>
        <w:t xml:space="preserve"> </w:t>
      </w:r>
      <w:r>
        <w:t xml:space="preserve">Venuti,</w:t>
      </w:r>
      <w:r>
        <w:t xml:space="preserve"> </w:t>
      </w:r>
      <w:r>
        <w:rPr>
          <w:i/>
          <w:iCs/>
        </w:rPr>
        <w:t xml:space="preserve">Translator’s Invisibility</w:t>
      </w:r>
      <w:r>
        <w:t xml:space="preserve">.</w:t>
      </w:r>
    </w:p>
  </w:footnote>
  <w:footnote w:id="28">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29">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32">
    <w:p>
      <w:pPr>
        <w:pStyle w:val="FootnoteText"/>
      </w:pPr>
      <w:r>
        <w:rPr>
          <w:rStyle w:val="FootnoteReference"/>
        </w:rPr>
        <w:footnoteRef/>
      </w:r>
      <w:r>
        <w:t xml:space="preserve"> </w:t>
      </w:r>
      <w:r>
        <w:t xml:space="preserve">Murray,</w:t>
      </w:r>
      <w:r>
        <w:t xml:space="preserve"> </w:t>
      </w:r>
      <w:r>
        <w:rPr>
          <w:i/>
          <w:iCs/>
        </w:rPr>
        <w:t xml:space="preserve">Stomping the Blues</w:t>
      </w:r>
      <w:r>
        <w:t xml:space="preserve">.</w:t>
      </w:r>
    </w:p>
  </w:footnote>
  <w:footnote w:id="33">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35">
    <w:p>
      <w:pPr>
        <w:pStyle w:val="FootnoteText"/>
      </w:pPr>
      <w:r>
        <w:rPr>
          <w:rStyle w:val="FootnoteReference"/>
        </w:rPr>
        <w:footnoteRef/>
      </w:r>
      <w:r>
        <w:t xml:space="preserve"> </w:t>
      </w:r>
      <w:r>
        <w:t xml:space="preserve">Ellison,</w:t>
      </w:r>
      <w:r>
        <w:t xml:space="preserve"> </w:t>
      </w:r>
      <w:r>
        <w:rPr>
          <w:i/>
          <w:iCs/>
        </w:rPr>
        <w:t xml:space="preserve">Shadow and Act</w:t>
      </w:r>
      <w:r>
        <w:t xml:space="preserve">.</w:t>
      </w:r>
    </w:p>
  </w:footnote>
  <w:footnote w:id="36">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38">
    <w:p>
      <w:pPr>
        <w:pStyle w:val="FootnoteText"/>
      </w:pPr>
      <w:r>
        <w:rPr>
          <w:rStyle w:val="FootnoteReference"/>
        </w:rPr>
        <w:footnoteRef/>
      </w:r>
      <w:r>
        <w:t xml:space="preserve"> </w:t>
      </w:r>
      <w:r>
        <w:t xml:space="preserve">Portia K. Maultsby,</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 Joseph E. Holloway (Bloomington: Indiana University Press, 1990), 185–210.</w:t>
      </w:r>
    </w:p>
  </w:footnote>
  <w:footnote w:id="39">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41">
    <w:p>
      <w:pPr>
        <w:pStyle w:val="FootnoteText"/>
      </w:pPr>
      <w:r>
        <w:rPr>
          <w:rStyle w:val="FootnoteReference"/>
        </w:rPr>
        <w:footnoteRef/>
      </w:r>
      <w:r>
        <w:t xml:space="preserve"> </w:t>
      </w:r>
      <w:r>
        <w:t xml:space="preserve">Baraka,</w:t>
      </w:r>
      <w:r>
        <w:t xml:space="preserve"> </w:t>
      </w:r>
      <w:r>
        <w:rPr>
          <w:i/>
          <w:iCs/>
        </w:rPr>
        <w:t xml:space="preserve">Blues People</w:t>
      </w:r>
      <w:r>
        <w:t xml:space="preserve">.</w:t>
      </w:r>
    </w:p>
  </w:footnote>
  <w:footnote w:id="44">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46">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47">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49">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51">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53">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55">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58">
    <w:p>
      <w:pPr>
        <w:pStyle w:val="FootnoteText"/>
      </w:pPr>
      <w:r>
        <w:rPr>
          <w:rStyle w:val="FootnoteReference"/>
        </w:rPr>
        <w:footnoteRef/>
      </w:r>
      <w:r>
        <w:t xml:space="preserve"> </w:t>
      </w:r>
      <w:r>
        <w:t xml:space="preserve">Sea Island Translation Team,</w:t>
      </w:r>
      <w:r>
        <w:t xml:space="preserve"> </w:t>
      </w:r>
      <w:r>
        <w:rPr>
          <w:i/>
          <w:iCs/>
        </w:rPr>
        <w:t xml:space="preserve">De Nyew Testament</w:t>
      </w:r>
      <w:r>
        <w:t xml:space="preserve"> </w:t>
      </w:r>
      <w:r>
        <w:t xml:space="preserve">(New York: American Bible Society, 2005).</w:t>
      </w:r>
    </w:p>
  </w:footnote>
  <w:footnote w:id="60">
    <w:p>
      <w:pPr>
        <w:pStyle w:val="FootnoteText"/>
      </w:pPr>
      <w:r>
        <w:rPr>
          <w:rStyle w:val="FootnoteReference"/>
        </w:rPr>
        <w:footnoteRef/>
      </w:r>
      <w:r>
        <w:t xml:space="preserve"> </w:t>
      </w:r>
      <w:r>
        <w:t xml:space="preserve">James H. Cone,</w:t>
      </w:r>
      <w:r>
        <w:t xml:space="preserve"> </w:t>
      </w:r>
      <w:r>
        <w:rPr>
          <w:i/>
          <w:iCs/>
        </w:rPr>
        <w:t xml:space="preserve">A Black Theology of Liberation</w:t>
      </w:r>
      <w:r>
        <w:t xml:space="preserve"> </w:t>
      </w:r>
      <w:r>
        <w:t xml:space="preserve">(Philadelphia: Lippincott, 1970).</w:t>
      </w:r>
    </w:p>
  </w:footnote>
  <w:footnote w:id="62">
    <w:p>
      <w:pPr>
        <w:pStyle w:val="FootnoteText"/>
      </w:pPr>
      <w:r>
        <w:rPr>
          <w:rStyle w:val="FootnoteReference"/>
        </w:rPr>
        <w:footnoteRef/>
      </w:r>
      <w:r>
        <w:t xml:space="preserve"> </w:t>
      </w:r>
      <w:r>
        <w:t xml:space="preserve">Kiley Jon Clark,</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footnote>
  <w:footnote w:id="65">
    <w:p>
      <w:pPr>
        <w:pStyle w:val="FootnoteText"/>
      </w:pPr>
      <w:r>
        <w:rPr>
          <w:rStyle w:val="FootnoteReference"/>
        </w:rPr>
        <w:footnoteRef/>
      </w:r>
      <w:r>
        <w:t xml:space="preserve"> </w:t>
      </w:r>
      <w:r>
        <w:t xml:space="preserve">Johnson,</w:t>
      </w:r>
      <w:r>
        <w:t xml:space="preserve"> </w:t>
      </w:r>
      <w:r>
        <w:rPr>
          <w:i/>
          <w:iCs/>
        </w:rPr>
        <w:t xml:space="preserve">Turning the Wheel</w:t>
      </w:r>
      <w:r>
        <w:t xml:space="preserve">.</w:t>
      </w:r>
    </w:p>
  </w:footnote>
  <w:footnote w:id="67">
    <w:p>
      <w:pPr>
        <w:pStyle w:val="FootnoteText"/>
      </w:pPr>
      <w:r>
        <w:rPr>
          <w:rStyle w:val="FootnoteReference"/>
        </w:rPr>
        <w:footnoteRef/>
      </w:r>
      <w:r>
        <w:t xml:space="preserve"> </w:t>
      </w:r>
      <w:r>
        <w:t xml:space="preserve">Willis,</w:t>
      </w:r>
      <w:r>
        <w:t xml:space="preserve"> </w:t>
      </w:r>
      <w:r>
        <w:rPr>
          <w:i/>
          <w:iCs/>
        </w:rPr>
        <w:t xml:space="preserve">Dreaming Me</w:t>
      </w:r>
      <w:r>
        <w:t xml:space="preserve">.</w:t>
      </w:r>
    </w:p>
  </w:footnote>
  <w:footnote w:id="70">
    <w:p>
      <w:pPr>
        <w:pStyle w:val="FootnoteText"/>
      </w:pPr>
      <w:r>
        <w:rPr>
          <w:rStyle w:val="FootnoteReference"/>
        </w:rPr>
        <w:footnoteRef/>
      </w:r>
      <w:r>
        <w:t xml:space="preserve"> </w:t>
      </w:r>
      <w:r>
        <w:t xml:space="preserve">Paul Oliver,</w:t>
      </w:r>
      <w:r>
        <w:t xml:space="preserve"> </w:t>
      </w:r>
      <w:r>
        <w:rPr>
          <w:i/>
          <w:iCs/>
        </w:rPr>
        <w:t xml:space="preserve">Blues Fell This Morning: Meaning in the Blues</w:t>
      </w:r>
      <w:r>
        <w:t xml:space="preserve">, 2nd ed. (Cambridge: Cambridge University Press, 1990).</w:t>
      </w:r>
    </w:p>
  </w:footnote>
  <w:footnote w:id="72">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2026-01-02T23:00:27Z</dcterms:created>
  <dcterms:modified xsi:type="dcterms:W3CDTF">2026-01-02T23:00:27Z</dcterms:modified>
</cp:coreProperties>
</file>

<file path=docProps/custom.xml><?xml version="1.0" encoding="utf-8"?>
<Properties xmlns="http://schemas.openxmlformats.org/officeDocument/2006/custom-properties" xmlns:vt="http://schemas.openxmlformats.org/officeDocument/2006/docPropsVTypes"/>
</file>