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329D" w14:textId="77777777" w:rsidR="00531E96" w:rsidRDefault="00000000">
      <w:pPr>
        <w:jc w:val="center"/>
      </w:pPr>
      <w:r>
        <w:rPr>
          <w:b/>
          <w:sz w:val="32"/>
        </w:rPr>
        <w:t>The Ten Suchnesses and Integrated Information Theory: Structural Parallels Between Tiantai Buddhism and Consciousness Science</w:t>
      </w:r>
    </w:p>
    <w:p w14:paraId="1C19979D" w14:textId="77777777" w:rsidR="00531E96" w:rsidRDefault="00000000">
      <w:r>
        <w:rPr>
          <w:b/>
          <w:sz w:val="28"/>
        </w:rPr>
        <w:t>Abstract</w:t>
      </w:r>
    </w:p>
    <w:p w14:paraId="1CDA2F24" w14:textId="77777777" w:rsidR="00531E96" w:rsidRDefault="00000000">
      <w:r>
        <w:t>This article compares Tiantai Buddhism's Ten Suchnesses (</w:t>
      </w:r>
      <w:r>
        <w:rPr>
          <w:i/>
        </w:rPr>
        <w:t>shí rúshì</w:t>
      </w:r>
      <w:r>
        <w:t>) with Integrated Information Theory 4.0 as two attempts to characterize the structure of reality and consciousness. Both frameworks propose that phenomenal experience requires integration, boundedness, and irreducibility to parts—the Ten Suchnesses through the category of "Ultimate Equality," IIT through the measure Φ. I examine two Lotus Sutra narratives as potential illustrations: the Dragon Girl's instantaneous enlightenment (Chapter 12) as a model of consciousness phase transition, and the Bodhisattva Wonderful Sound's non-local presence (Chapter 24) as phenomenological boundary dissolution. I do not claim textual influence, empirical confirmation, or that ancient Buddhists anticipated modern neuroscience. The proposal is more modest: these frameworks may exhibit structural resonance because they address a common constraint—how minds model integrated consciousness. This is a conceptual exploration, not an empirical test of IIT or a historical thesis about the Lotus Sutra.</w:t>
      </w:r>
    </w:p>
    <w:p w14:paraId="794F2807" w14:textId="77777777" w:rsidR="00531E96" w:rsidRDefault="00000000">
      <w:r>
        <w:rPr>
          <w:b/>
          <w:sz w:val="28"/>
        </w:rPr>
        <w:t>1. Introduction</w:t>
      </w:r>
    </w:p>
    <w:p w14:paraId="6CBF9E55" w14:textId="77777777" w:rsidR="00531E96" w:rsidRDefault="00000000">
      <w:r>
        <w:t>I came to this through an unusual path. In 2022, I was reading Albantakis et al.'s IIT 4.0 paper while simultaneously translating the Lotus Sutra. The parallels were too striking to ignore—but I wasn't sure if I was finding real structure or just pattern-matching, the eternal peril of the interdisciplinary.</w:t>
      </w:r>
    </w:p>
    <w:p w14:paraId="0E2A2495" w14:textId="77777777" w:rsidR="00531E96" w:rsidRDefault="00000000">
      <w:r>
        <w:t>This paper asks whether two very different frameworks—one from 6th-century China, one from 21st-century Wisconsin—illuminate each other when read together. If that sounds like cherry-</w:t>
      </w:r>
      <w:r>
        <w:lastRenderedPageBreak/>
        <w:t>picking, you're not wrong to be suspicious. But I find the structural resonances suggestive enough to articulate them clearly and submit them to scrutiny.</w:t>
      </w:r>
    </w:p>
    <w:p w14:paraId="01CA2BCB" w14:textId="77777777" w:rsidR="00531E96" w:rsidRDefault="00000000">
      <w:r>
        <w:t>What follows is organized around three questions: (1) Do the Ten Suchnesses and IIT axioms map onto each other in philosophically nontrivial ways? (2) Can Lotus Sutra narratives be read as models of consciousness dynamics? (3) What are the limits of this comparative exercise?</w:t>
      </w:r>
    </w:p>
    <w:p w14:paraId="43FEBF0C" w14:textId="77777777" w:rsidR="00531E96" w:rsidRDefault="00000000">
      <w:r>
        <w:rPr>
          <w:b/>
          <w:sz w:val="28"/>
        </w:rPr>
        <w:t>2. The Ten Suchnesses and IIT 4.0</w:t>
      </w:r>
    </w:p>
    <w:p w14:paraId="1EF400F6" w14:textId="77777777" w:rsidR="00531E96" w:rsidRDefault="00000000">
      <w:r>
        <w:rPr>
          <w:b/>
          <w:i/>
        </w:rPr>
        <w:t>2.1 The Ten Suchnesses</w:t>
      </w:r>
    </w:p>
    <w:p w14:paraId="11D5A06E" w14:textId="77777777" w:rsidR="00531E96" w:rsidRDefault="00000000">
      <w:r>
        <w:t>The Ten Suchnesses (</w:t>
      </w:r>
      <w:r>
        <w:t>十如是</w:t>
      </w:r>
      <w:r>
        <w:t>) are a taxonomy from the Lotus Sutra describing ten factors present in every phenomenon. Think of them as Aristotle's four causes expanded to include dynamics, feedback, and ultimate unity:</w:t>
      </w:r>
    </w:p>
    <w:p w14:paraId="4B78653E" w14:textId="77777777" w:rsidR="00531E96" w:rsidRDefault="00000000">
      <w:pPr>
        <w:pStyle w:val="ListBullet"/>
      </w:pPr>
      <w:r>
        <w:rPr>
          <w:b/>
        </w:rPr>
        <w:t>Appearance</w:t>
      </w:r>
      <w:r>
        <w:t xml:space="preserve"> (*sō*): What you see—color, shape, behavior</w:t>
      </w:r>
    </w:p>
    <w:p w14:paraId="64D0C7B9" w14:textId="77777777" w:rsidR="00531E96" w:rsidRDefault="00000000">
      <w:pPr>
        <w:pStyle w:val="ListBullet"/>
      </w:pPr>
      <w:r>
        <w:rPr>
          <w:b/>
        </w:rPr>
        <w:t>Nature</w:t>
      </w:r>
      <w:r>
        <w:t xml:space="preserve"> (*shō*): Internal disposition—what it tends toward</w:t>
      </w:r>
    </w:p>
    <w:p w14:paraId="388AF9FF" w14:textId="77777777" w:rsidR="00531E96" w:rsidRDefault="00000000">
      <w:pPr>
        <w:pStyle w:val="ListBullet"/>
      </w:pPr>
      <w:r>
        <w:rPr>
          <w:b/>
        </w:rPr>
        <w:t>Entity</w:t>
      </w:r>
      <w:r>
        <w:t xml:space="preserve"> (*tai*): The unified "thing" holding appearance and nature together</w:t>
      </w:r>
    </w:p>
    <w:p w14:paraId="46A573CB" w14:textId="77777777" w:rsidR="00531E96" w:rsidRDefault="00000000">
      <w:pPr>
        <w:pStyle w:val="ListBullet"/>
      </w:pPr>
      <w:r>
        <w:rPr>
          <w:b/>
        </w:rPr>
        <w:t>Power</w:t>
      </w:r>
      <w:r>
        <w:t>: Latent energy</w:t>
      </w:r>
    </w:p>
    <w:p w14:paraId="54580983" w14:textId="77777777" w:rsidR="00531E96" w:rsidRDefault="00000000">
      <w:pPr>
        <w:pStyle w:val="ListBullet"/>
      </w:pPr>
      <w:r>
        <w:rPr>
          <w:b/>
        </w:rPr>
        <w:t>Function</w:t>
      </w:r>
      <w:r>
        <w:t>: Action in the world</w:t>
      </w:r>
    </w:p>
    <w:p w14:paraId="5071CD77" w14:textId="77777777" w:rsidR="00531E96" w:rsidRDefault="00000000">
      <w:pPr>
        <w:pStyle w:val="ListBullet"/>
      </w:pPr>
      <w:r>
        <w:rPr>
          <w:b/>
        </w:rPr>
        <w:t>Cause</w:t>
      </w:r>
      <w:r>
        <w:t>: Internal factor that initiates</w:t>
      </w:r>
    </w:p>
    <w:p w14:paraId="38E43721" w14:textId="77777777" w:rsidR="00531E96" w:rsidRDefault="00000000">
      <w:pPr>
        <w:pStyle w:val="ListBullet"/>
      </w:pPr>
      <w:r>
        <w:rPr>
          <w:b/>
        </w:rPr>
        <w:t>Condition</w:t>
      </w:r>
      <w:r>
        <w:t>: External factor that enables</w:t>
      </w:r>
    </w:p>
    <w:p w14:paraId="2623D238" w14:textId="77777777" w:rsidR="00531E96" w:rsidRDefault="00000000">
      <w:pPr>
        <w:pStyle w:val="ListBullet"/>
      </w:pPr>
      <w:r>
        <w:rPr>
          <w:b/>
        </w:rPr>
        <w:t>Effect</w:t>
      </w:r>
      <w:r>
        <w:t>: Immediate result</w:t>
      </w:r>
    </w:p>
    <w:p w14:paraId="47447108" w14:textId="77777777" w:rsidR="00531E96" w:rsidRDefault="00000000">
      <w:pPr>
        <w:pStyle w:val="ListBullet"/>
      </w:pPr>
      <w:r>
        <w:rPr>
          <w:b/>
        </w:rPr>
        <w:t>Reward</w:t>
      </w:r>
      <w:r>
        <w:t>: Long-term residue</w:t>
      </w:r>
    </w:p>
    <w:p w14:paraId="27B10CB6" w14:textId="77777777" w:rsidR="00531E96" w:rsidRDefault="00000000">
      <w:pPr>
        <w:pStyle w:val="ListBullet"/>
      </w:pPr>
      <w:r>
        <w:rPr>
          <w:b/>
        </w:rPr>
        <w:t>Ultimate Equality</w:t>
      </w:r>
      <w:r>
        <w:t xml:space="preserve"> (*nyoze*): All nine factors are inseparable, forming an integrated whole</w:t>
      </w:r>
    </w:p>
    <w:p w14:paraId="4E415C90" w14:textId="77777777" w:rsidR="00531E96" w:rsidRDefault="00000000">
      <w:r>
        <w:t>The tenth factor is the key. Tiantai commentators insist that all ten suchnesses are present in every moment of experience—nothing exists as isolated appearance, nature, or cause, but only as the full integrated structure.</w:t>
      </w:r>
    </w:p>
    <w:p w14:paraId="3C88CDDD" w14:textId="77777777" w:rsidR="00531E96" w:rsidRDefault="00000000">
      <w:r>
        <w:rPr>
          <w:b/>
          <w:i/>
        </w:rPr>
        <w:lastRenderedPageBreak/>
        <w:t>2.2 Integrated Information Theory</w:t>
      </w:r>
    </w:p>
    <w:p w14:paraId="674E710C" w14:textId="77777777" w:rsidR="00531E96" w:rsidRDefault="00000000">
      <w:r>
        <w:t xml:space="preserve">IIT proposes that consciousness corresponds to integrated information, abbreviated Φ (phi). The core claim: consciousness isn't about what a system </w:t>
      </w:r>
      <w:r>
        <w:rPr>
          <w:i/>
        </w:rPr>
        <w:t>does</w:t>
      </w:r>
      <w:r>
        <w:t xml:space="preserve">, but how much information the system generates </w:t>
      </w:r>
      <w:r>
        <w:rPr>
          <w:i/>
        </w:rPr>
        <w:t>as a whole</w:t>
      </w:r>
      <w:r>
        <w:t xml:space="preserve"> beyond what its parts generate separately.</w:t>
      </w:r>
    </w:p>
    <w:p w14:paraId="4753CA6D" w14:textId="77777777" w:rsidR="00531E96" w:rsidRDefault="00000000">
      <w:r>
        <w:t>IIT 4.0 formalizes this with five axioms:</w:t>
      </w:r>
    </w:p>
    <w:p w14:paraId="7489951B" w14:textId="77777777" w:rsidR="00531E96" w:rsidRDefault="00000000">
      <w:pPr>
        <w:pStyle w:val="ListBullet"/>
      </w:pPr>
      <w:r>
        <w:rPr>
          <w:b/>
        </w:rPr>
        <w:t>Intrinsicality</w:t>
      </w:r>
      <w:r>
        <w:t>: Experience exists for itself</w:t>
      </w:r>
    </w:p>
    <w:p w14:paraId="5D2A2105" w14:textId="77777777" w:rsidR="00531E96" w:rsidRDefault="00000000">
      <w:pPr>
        <w:pStyle w:val="ListBullet"/>
      </w:pPr>
      <w:r>
        <w:rPr>
          <w:b/>
        </w:rPr>
        <w:t>Information</w:t>
      </w:r>
      <w:r>
        <w:t>: Experience is specific</w:t>
      </w:r>
    </w:p>
    <w:p w14:paraId="3441B288" w14:textId="77777777" w:rsidR="00531E96" w:rsidRDefault="00000000">
      <w:pPr>
        <w:pStyle w:val="ListBullet"/>
      </w:pPr>
      <w:r>
        <w:rPr>
          <w:b/>
        </w:rPr>
        <w:t>Integration</w:t>
      </w:r>
      <w:r>
        <w:t>: Experience is unitary</w:t>
      </w:r>
    </w:p>
    <w:p w14:paraId="576ACC98" w14:textId="77777777" w:rsidR="00531E96" w:rsidRDefault="00000000">
      <w:pPr>
        <w:pStyle w:val="ListBullet"/>
      </w:pPr>
      <w:r>
        <w:rPr>
          <w:b/>
        </w:rPr>
        <w:t>Exclusion</w:t>
      </w:r>
      <w:r>
        <w:t>: Experience has definite borders</w:t>
      </w:r>
    </w:p>
    <w:p w14:paraId="3737BE1C" w14:textId="77777777" w:rsidR="00531E96" w:rsidRDefault="00000000">
      <w:pPr>
        <w:pStyle w:val="ListBullet"/>
      </w:pPr>
      <w:r>
        <w:rPr>
          <w:b/>
        </w:rPr>
        <w:t>Composition</w:t>
      </w:r>
      <w:r>
        <w:t>: Experience is structured</w:t>
      </w:r>
    </w:p>
    <w:p w14:paraId="7084F84F" w14:textId="77777777" w:rsidR="00531E96" w:rsidRDefault="00000000">
      <w:r>
        <w:rPr>
          <w:b/>
          <w:i/>
        </w:rPr>
        <w:t>2.3 The Mapping</w:t>
      </w:r>
    </w:p>
    <w:tbl>
      <w:tblPr>
        <w:tblStyle w:val="TableGrid"/>
        <w:tblW w:w="0" w:type="auto"/>
        <w:tblLook w:val="04A0" w:firstRow="1" w:lastRow="0" w:firstColumn="1" w:lastColumn="0" w:noHBand="0" w:noVBand="1"/>
      </w:tblPr>
      <w:tblGrid>
        <w:gridCol w:w="4680"/>
        <w:gridCol w:w="4680"/>
      </w:tblGrid>
      <w:tr w:rsidR="00531E96" w14:paraId="101557FC" w14:textId="77777777">
        <w:tc>
          <w:tcPr>
            <w:tcW w:w="4680" w:type="dxa"/>
          </w:tcPr>
          <w:p w14:paraId="3836DB1F" w14:textId="77777777" w:rsidR="00531E96" w:rsidRDefault="00000000">
            <w:r>
              <w:rPr>
                <w:b/>
              </w:rPr>
              <w:t>IIT Axiom</w:t>
            </w:r>
          </w:p>
        </w:tc>
        <w:tc>
          <w:tcPr>
            <w:tcW w:w="4680" w:type="dxa"/>
          </w:tcPr>
          <w:p w14:paraId="2B8107CF" w14:textId="77777777" w:rsidR="00531E96" w:rsidRDefault="00000000">
            <w:r>
              <w:rPr>
                <w:b/>
              </w:rPr>
              <w:t>Ten Suchnesses Equivalent</w:t>
            </w:r>
          </w:p>
        </w:tc>
      </w:tr>
      <w:tr w:rsidR="00531E96" w14:paraId="24D69CEE" w14:textId="77777777">
        <w:tc>
          <w:tcPr>
            <w:tcW w:w="4680" w:type="dxa"/>
          </w:tcPr>
          <w:p w14:paraId="1DDD1279" w14:textId="77777777" w:rsidR="00531E96" w:rsidRDefault="00000000">
            <w:r>
              <w:t>Existence</w:t>
            </w:r>
          </w:p>
        </w:tc>
        <w:tc>
          <w:tcPr>
            <w:tcW w:w="4680" w:type="dxa"/>
          </w:tcPr>
          <w:p w14:paraId="451A8113" w14:textId="77777777" w:rsidR="00531E96" w:rsidRDefault="00000000">
            <w:r>
              <w:t>Entity (</w:t>
            </w:r>
            <w:r>
              <w:rPr>
                <w:i/>
              </w:rPr>
              <w:t>tai</w:t>
            </w:r>
            <w:r>
              <w:t>)</w:t>
            </w:r>
          </w:p>
        </w:tc>
      </w:tr>
      <w:tr w:rsidR="00531E96" w14:paraId="54BB9DFF" w14:textId="77777777">
        <w:tc>
          <w:tcPr>
            <w:tcW w:w="4680" w:type="dxa"/>
          </w:tcPr>
          <w:p w14:paraId="584F26EF" w14:textId="77777777" w:rsidR="00531E96" w:rsidRDefault="00000000">
            <w:r>
              <w:t>Composition</w:t>
            </w:r>
          </w:p>
        </w:tc>
        <w:tc>
          <w:tcPr>
            <w:tcW w:w="4680" w:type="dxa"/>
          </w:tcPr>
          <w:p w14:paraId="6F957BCF" w14:textId="77777777" w:rsidR="00531E96" w:rsidRDefault="00000000">
            <w:r>
              <w:t>Nature (</w:t>
            </w:r>
            <w:r>
              <w:rPr>
                <w:i/>
              </w:rPr>
              <w:t>shō</w:t>
            </w:r>
            <w:r>
              <w:t>)</w:t>
            </w:r>
          </w:p>
        </w:tc>
      </w:tr>
      <w:tr w:rsidR="00531E96" w14:paraId="4D8B8CFC" w14:textId="77777777">
        <w:tc>
          <w:tcPr>
            <w:tcW w:w="4680" w:type="dxa"/>
          </w:tcPr>
          <w:p w14:paraId="3CA92BC2" w14:textId="77777777" w:rsidR="00531E96" w:rsidRDefault="00000000">
            <w:r>
              <w:t>Information</w:t>
            </w:r>
          </w:p>
        </w:tc>
        <w:tc>
          <w:tcPr>
            <w:tcW w:w="4680" w:type="dxa"/>
          </w:tcPr>
          <w:p w14:paraId="41008F70" w14:textId="77777777" w:rsidR="00531E96" w:rsidRDefault="00000000">
            <w:r>
              <w:t>Appearance (</w:t>
            </w:r>
            <w:r>
              <w:rPr>
                <w:i/>
              </w:rPr>
              <w:t>sō</w:t>
            </w:r>
            <w:r>
              <w:t>)</w:t>
            </w:r>
          </w:p>
        </w:tc>
      </w:tr>
      <w:tr w:rsidR="00531E96" w14:paraId="0101E833" w14:textId="77777777">
        <w:tc>
          <w:tcPr>
            <w:tcW w:w="4680" w:type="dxa"/>
          </w:tcPr>
          <w:p w14:paraId="7DAC7C74" w14:textId="77777777" w:rsidR="00531E96" w:rsidRDefault="00000000">
            <w:r>
              <w:t>Integration</w:t>
            </w:r>
          </w:p>
        </w:tc>
        <w:tc>
          <w:tcPr>
            <w:tcW w:w="4680" w:type="dxa"/>
          </w:tcPr>
          <w:p w14:paraId="5D2F7755" w14:textId="77777777" w:rsidR="00531E96" w:rsidRDefault="00000000">
            <w:r>
              <w:t>Ultimate Equality (</w:t>
            </w:r>
            <w:r>
              <w:rPr>
                <w:i/>
              </w:rPr>
              <w:t>nyoze</w:t>
            </w:r>
            <w:r>
              <w:t>)</w:t>
            </w:r>
          </w:p>
        </w:tc>
      </w:tr>
      <w:tr w:rsidR="00531E96" w14:paraId="1F241C7D" w14:textId="77777777">
        <w:tc>
          <w:tcPr>
            <w:tcW w:w="4680" w:type="dxa"/>
          </w:tcPr>
          <w:p w14:paraId="4135AAB8" w14:textId="77777777" w:rsidR="00531E96" w:rsidRDefault="00000000">
            <w:r>
              <w:t>Exclusion</w:t>
            </w:r>
          </w:p>
        </w:tc>
        <w:tc>
          <w:tcPr>
            <w:tcW w:w="4680" w:type="dxa"/>
          </w:tcPr>
          <w:p w14:paraId="42E3258B" w14:textId="77777777" w:rsidR="00531E96" w:rsidRDefault="00000000">
            <w:r>
              <w:t>Entity + Function</w:t>
            </w:r>
          </w:p>
        </w:tc>
      </w:tr>
    </w:tbl>
    <w:p w14:paraId="4765BCD4" w14:textId="77777777" w:rsidR="00531E96" w:rsidRDefault="00531E96"/>
    <w:p w14:paraId="2509ED8E" w14:textId="77777777" w:rsidR="00531E96" w:rsidRDefault="00000000">
      <w:r>
        <w:t>These aren't surface-level lexical matches. Consider the core parallel: "Ultimate Equality" isn't merely "oneness" language—it's the claim that all nine preceding factors are mutually constitutive and inseparable. This is precisely what IIT means by integration: Φ measures how much a system's whole exceeds the information of its partitioned components. Both frameworks insist that consciousness requires irreducibility.</w:t>
      </w:r>
    </w:p>
    <w:p w14:paraId="08EB2094" w14:textId="77777777" w:rsidR="00531E96" w:rsidRDefault="00000000">
      <w:r>
        <w:lastRenderedPageBreak/>
        <w:t>Similarly, the triad of Appearance–Nature–Entity mirrors IIT's demand that experience has both qualitative character (information/appearance) and integrated structure (composition/nature), unified by a bounded system (existence/entity). Tiantai's insistence that all ten suchnesses are present in every moment anticipates IIT's commitment to intrinsic, integrated, and exclusionary structure.</w:t>
      </w:r>
    </w:p>
    <w:p w14:paraId="3F4D85E3" w14:textId="77777777" w:rsidR="00531E96" w:rsidRDefault="00000000">
      <w:r>
        <w:t>The mapping suggests both frameworks are grappling with the same structural problem: how wholes emerge from parts without being reducible to them. Whether this reflects a genuine constraint on consciousness or merely similar philosophical intuitions is the question I cannot answer definitively.</w:t>
      </w:r>
    </w:p>
    <w:p w14:paraId="1C16312E" w14:textId="77777777" w:rsidR="00531E96" w:rsidRDefault="00000000">
      <w:r>
        <w:rPr>
          <w:b/>
          <w:sz w:val="28"/>
        </w:rPr>
        <w:t>3. The Dragon Girl and Phase Transitions</w:t>
      </w:r>
    </w:p>
    <w:p w14:paraId="1A6971C7" w14:textId="77777777" w:rsidR="00531E96" w:rsidRDefault="00000000">
      <w:r>
        <w:t>Chapter 12 of the Lotus Sutra features one of the most radical passages in Mahayana literature. An eight-year-old dragon girl—non-human, female, a child—attains complete Buddhahood in a single instant. No countless aeons of practice. No gradual accumulation of merit.</w:t>
      </w:r>
    </w:p>
    <w:p w14:paraId="5A3E9E62" w14:textId="77777777" w:rsidR="00531E96" w:rsidRDefault="00000000">
      <w:r>
        <w:t>Śāriputra objects. The road to Buddhahood is "long and far-stretching," he says. A woman's body is "soiled." She can't possibly have done this.</w:t>
      </w:r>
    </w:p>
    <w:p w14:paraId="2F4EED32" w14:textId="77777777" w:rsidR="00531E96" w:rsidRDefault="00000000">
      <w:r>
        <w:t>She proves him wrong.</w:t>
      </w:r>
    </w:p>
    <w:p w14:paraId="01EE579B" w14:textId="77777777" w:rsidR="00531E96" w:rsidRDefault="00000000">
      <w:r>
        <w:rPr>
          <w:b/>
          <w:i/>
        </w:rPr>
        <w:t>3.1 Existing Scholarship</w:t>
      </w:r>
    </w:p>
    <w:p w14:paraId="2FA390E1" w14:textId="77777777" w:rsidR="00531E96" w:rsidRDefault="00000000">
      <w:r>
        <w:t>Miriam Levering's influential reading of this passage focuses on its institutional and gender-political dimensions—how it challenged monastic assumptions about women's spiritual capacity and served as a rhetorical weapon in intra-Buddhist debates about female ordination and authority. That reading is important and I am not bypassing it.</w:t>
      </w:r>
    </w:p>
    <w:p w14:paraId="30F9CABA" w14:textId="77777777" w:rsidR="00531E96" w:rsidRDefault="00000000">
      <w:r>
        <w:lastRenderedPageBreak/>
        <w:t xml:space="preserve">The present paper brackets those sociological questions to focus instead on the </w:t>
      </w:r>
      <w:r>
        <w:rPr>
          <w:i/>
        </w:rPr>
        <w:t>structure of transformation itself</w:t>
      </w:r>
      <w:r>
        <w:t>, treating the narrative as a potential model of abrupt reconfiguration once certain conditions are satisfied.</w:t>
      </w:r>
    </w:p>
    <w:p w14:paraId="79E31AE2" w14:textId="77777777" w:rsidR="00531E96" w:rsidRDefault="00000000">
      <w:r>
        <w:rPr>
          <w:b/>
          <w:i/>
        </w:rPr>
        <w:t>3.2 The Phase Transition Reading</w:t>
      </w:r>
    </w:p>
    <w:p w14:paraId="188B3DB9" w14:textId="77777777" w:rsidR="00531E96" w:rsidRDefault="00000000">
      <w:r>
        <w:t>In complex systems, phase transitions are sudden. Water doesn't gradually become ice—it hits a threshold and reorganizes. The Dragon Girl's enlightenment might represent the moment when a consciousness system reaches critical Φ and reconfigures entirely.</w:t>
      </w:r>
    </w:p>
    <w:p w14:paraId="30CBB228" w14:textId="77777777" w:rsidR="00531E96" w:rsidRDefault="00000000">
      <w:r>
        <w:t>The "pearl" she offers the Buddha could symbolize the final bit of integrated information that tips the system past threshold.</w:t>
      </w:r>
    </w:p>
    <w:p w14:paraId="117E7B1B" w14:textId="77777777" w:rsidR="00531E96" w:rsidRDefault="00000000">
      <w:r>
        <w:t>Is this falsifiable? Potentially:</w:t>
      </w:r>
    </w:p>
    <w:p w14:paraId="3C4574BB" w14:textId="77777777" w:rsidR="00531E96" w:rsidRDefault="00000000">
      <w:pPr>
        <w:pStyle w:val="ListNumber"/>
      </w:pPr>
      <w:r>
        <w:t>If historians show that Tiantai commentators never understood this as a transformation narrative, I'm retrofitting modern concepts onto ancient text.</w:t>
      </w:r>
    </w:p>
    <w:p w14:paraId="4F9BED12" w14:textId="77777777" w:rsidR="00531E96" w:rsidRDefault="00000000">
      <w:pPr>
        <w:pStyle w:val="ListNumber"/>
      </w:pPr>
      <w:r>
        <w:t>If neuroscience demonstrates that all meditation-induced state changes are strictly gradual, the phase-transition model fails.</w:t>
      </w:r>
    </w:p>
    <w:p w14:paraId="2BE29BCA" w14:textId="77777777" w:rsidR="00531E96" w:rsidRDefault="00000000">
      <w:pPr>
        <w:pStyle w:val="ListNumber"/>
      </w:pPr>
      <w:r>
        <w:t>If mathematicians prove Φ can't jump discontinuously in any physical system, same problem.</w:t>
      </w:r>
    </w:p>
    <w:p w14:paraId="2F7F5C77" w14:textId="77777777" w:rsidR="00531E96" w:rsidRDefault="00000000">
      <w:r>
        <w:t>I hold this reading with moderate confidence—perhaps 65%. The value is heuristic: it offers a way to think about sudden enlightenment that connects contemplative phenomenology to formal consciousness science.</w:t>
      </w:r>
    </w:p>
    <w:p w14:paraId="440B1107" w14:textId="77777777" w:rsidR="00531E96" w:rsidRDefault="00000000">
      <w:r>
        <w:rPr>
          <w:b/>
          <w:sz w:val="28"/>
        </w:rPr>
        <w:t>4. Traveling Without Moving and Phenomenology</w:t>
      </w:r>
    </w:p>
    <w:p w14:paraId="7799248A" w14:textId="77777777" w:rsidR="00531E96" w:rsidRDefault="00000000">
      <w:r>
        <w:t>Chapter 24 introduces the Bodhisattva Wonderful Sound, who appears in thirty-four different forms across countless world-systems without ever leaving his meditation seat.</w:t>
      </w:r>
    </w:p>
    <w:p w14:paraId="491BAAA8" w14:textId="77777777" w:rsidR="00531E96" w:rsidRDefault="00000000">
      <w:r>
        <w:rPr>
          <w:b/>
          <w:i/>
        </w:rPr>
        <w:t>4.1 Clarifying the Claim</w:t>
      </w:r>
    </w:p>
    <w:p w14:paraId="456ED7DB" w14:textId="77777777" w:rsidR="00531E96" w:rsidRDefault="00000000">
      <w:r>
        <w:lastRenderedPageBreak/>
        <w:t>I am not claiming that enlightened beings violate physics. "Non-local consciousness" in physics means quantum correlations that can't transmit information faster than light. That's not what I'm invoking.</w:t>
      </w:r>
    </w:p>
    <w:p w14:paraId="485BCAD1" w14:textId="77777777" w:rsidR="00531E96" w:rsidRDefault="00000000">
      <w:r>
        <w:t xml:space="preserve">What I </w:t>
      </w:r>
      <w:r>
        <w:rPr>
          <w:i/>
        </w:rPr>
        <w:t>am</w:t>
      </w:r>
      <w:r>
        <w:t xml:space="preserve"> describing is phenomenological: some contemplative experiences feel unbounded—as if awareness extends beyond the skull. Whether that's literally true or just a shift in the experienced </w:t>
      </w:r>
      <w:r>
        <w:rPr>
          <w:i/>
        </w:rPr>
        <w:t>sense</w:t>
      </w:r>
      <w:r>
        <w:t xml:space="preserve"> of self is an open question. The claim here is phenomenological metaphor for changing the effective causal/informational boundary of the self, not a physical violation of spacetime.</w:t>
      </w:r>
    </w:p>
    <w:p w14:paraId="0480A11A" w14:textId="77777777" w:rsidR="00531E96" w:rsidRDefault="00000000">
      <w:r>
        <w:rPr>
          <w:b/>
          <w:i/>
        </w:rPr>
        <w:t>4.2 Phenomenological Grounding</w:t>
      </w:r>
    </w:p>
    <w:p w14:paraId="55B10882" w14:textId="77777777" w:rsidR="00531E96" w:rsidRDefault="00000000">
      <w:r>
        <w:t>This is well-documented in contemplative literature. Meditators across traditions report dissolution of self-boundary—the felt sense that "I" ends at the skin relaxes, and awareness seems to extend into the environment or other minds. Shinzen Young calls this "gone-ness"; Tibetan dzogchen texts describe rigpa as "boundless." The Lotus Sutra's samādhis (meditative absorptions) include classic accounts of altered sense of location and "field-like" awareness.</w:t>
      </w:r>
    </w:p>
    <w:p w14:paraId="03A0478F" w14:textId="77777777" w:rsidR="00531E96" w:rsidRDefault="00000000">
      <w:r>
        <w:t>These aren't metaphysical claims; they're phenomenological reports. The question is whether they're veridical or just how certain brain states feel from the inside. Wonderful Sound's samādhis might be systematic descriptions of these expanded phenomenological states:</w:t>
      </w:r>
    </w:p>
    <w:p w14:paraId="36E5F4BE" w14:textId="77777777" w:rsidR="00531E96" w:rsidRDefault="00000000">
      <w:pPr>
        <w:pStyle w:val="ListBullet"/>
      </w:pPr>
      <w:r>
        <w:rPr>
          <w:b/>
        </w:rPr>
        <w:t>Wonderful Banner Mark</w:t>
      </w:r>
      <w:r>
        <w:t>: Recognizing the underlying substrate</w:t>
      </w:r>
    </w:p>
    <w:p w14:paraId="2EEAF4EA" w14:textId="77777777" w:rsidR="00531E96" w:rsidRDefault="00000000">
      <w:pPr>
        <w:pStyle w:val="ListBullet"/>
      </w:pPr>
      <w:r>
        <w:rPr>
          <w:b/>
        </w:rPr>
        <w:t>Understanding Speech</w:t>
      </w:r>
      <w:r>
        <w:t>: Entanglement with all minds</w:t>
      </w:r>
    </w:p>
    <w:p w14:paraId="06C29153" w14:textId="77777777" w:rsidR="00531E96" w:rsidRDefault="00000000">
      <w:pPr>
        <w:pStyle w:val="ListBullet"/>
      </w:pPr>
      <w:r>
        <w:rPr>
          <w:b/>
        </w:rPr>
        <w:t>No Affinity</w:t>
      </w:r>
      <w:r>
        <w:t>: Love without local bias</w:t>
      </w:r>
    </w:p>
    <w:p w14:paraId="714DC83C" w14:textId="77777777" w:rsidR="00531E96" w:rsidRDefault="00000000">
      <w:r>
        <w:t>The consistency of such reports across traditions suggests we're picking up on something real—even if "real" means only "a stable feature of certain contemplative practices."</w:t>
      </w:r>
    </w:p>
    <w:p w14:paraId="500790A5" w14:textId="77777777" w:rsidR="00531E96" w:rsidRDefault="00000000">
      <w:r>
        <w:rPr>
          <w:b/>
          <w:sz w:val="28"/>
        </w:rPr>
        <w:t>5. Limits and Falsifiability</w:t>
      </w:r>
    </w:p>
    <w:p w14:paraId="4D44E487" w14:textId="77777777" w:rsidR="00531E96" w:rsidRDefault="00000000">
      <w:r>
        <w:lastRenderedPageBreak/>
        <w:t>I'm not going to pretend this synthesis is uncontroversial. IIT itself is contested.</w:t>
      </w:r>
    </w:p>
    <w:p w14:paraId="67000008" w14:textId="77777777" w:rsidR="00531E96" w:rsidRDefault="00000000">
      <w:r>
        <w:rPr>
          <w:b/>
        </w:rPr>
        <w:t>Scott Aaronson</w:t>
      </w:r>
      <w:r>
        <w:t xml:space="preserve"> has argued that IIT leads to absurd conclusions—simple logic gates with high Φ—and that we can't measure Φ in practice. He calls it "unfalsifiable" in its current form.</w:t>
      </w:r>
    </w:p>
    <w:p w14:paraId="060E2FD1" w14:textId="77777777" w:rsidR="00531E96" w:rsidRDefault="00000000">
      <w:r>
        <w:rPr>
          <w:b/>
        </w:rPr>
        <w:t>Ned Block</w:t>
      </w:r>
      <w:r>
        <w:t xml:space="preserve"> worries that IIT is too inflationary—attributing consciousness to systems that don't deserve it.</w:t>
      </w:r>
    </w:p>
    <w:p w14:paraId="694D1088" w14:textId="77777777" w:rsidR="00531E96" w:rsidRDefault="00000000">
      <w:r>
        <w:rPr>
          <w:b/>
        </w:rPr>
        <w:t>Eliminativists</w:t>
      </w:r>
      <w:r>
        <w:t xml:space="preserve"> reject "consciousness" as a useful category altogether.</w:t>
      </w:r>
    </w:p>
    <w:p w14:paraId="4C8026AB" w14:textId="77777777" w:rsidR="00531E96" w:rsidRDefault="00000000">
      <w:r>
        <w:t>My responses:</w:t>
      </w:r>
    </w:p>
    <w:p w14:paraId="6B585239" w14:textId="77777777" w:rsidR="00531E96" w:rsidRDefault="00000000">
      <w:pPr>
        <w:pStyle w:val="ListBullet"/>
      </w:pPr>
      <w:r>
        <w:t>IIT 4.0 has refined the formalism, tying Φ explicitly to substrate architecture. The empirical challenge remains, but this paper is conceptual, not experimental.</w:t>
      </w:r>
    </w:p>
    <w:p w14:paraId="36574853" w14:textId="77777777" w:rsidR="00531E96" w:rsidRDefault="00000000">
      <w:pPr>
        <w:pStyle w:val="ListBullet"/>
      </w:pPr>
      <w:r>
        <w:t>The Tiantai framework might actually support IIT's inflation. Buddha-nature in all things suggests universal potential for awareness. Whether that's a feature or a bug depends on your priors.</w:t>
      </w:r>
    </w:p>
    <w:p w14:paraId="4D7E561E" w14:textId="77777777" w:rsidR="00531E96" w:rsidRDefault="00000000">
      <w:pPr>
        <w:pStyle w:val="ListBullet"/>
      </w:pPr>
      <w:r>
        <w:t>I'm assuming consciousness is real and requires explanation. If you don't share that assumption, this project will seem pointless.</w:t>
      </w:r>
    </w:p>
    <w:p w14:paraId="02BA9F0F" w14:textId="77777777" w:rsidR="00531E96" w:rsidRDefault="00000000">
      <w:r>
        <w:t xml:space="preserve">What this paper does </w:t>
      </w:r>
      <w:r>
        <w:rPr>
          <w:i/>
        </w:rPr>
        <w:t>not</w:t>
      </w:r>
      <w:r>
        <w:t xml:space="preserve"> claim:</w:t>
      </w:r>
    </w:p>
    <w:p w14:paraId="4C74B3FA" w14:textId="77777777" w:rsidR="00531E96" w:rsidRDefault="00000000">
      <w:pPr>
        <w:pStyle w:val="ListBullet"/>
      </w:pPr>
      <w:r>
        <w:t>That ancient Buddhists anticipated modern consciousness science</w:t>
      </w:r>
    </w:p>
    <w:p w14:paraId="34295A23" w14:textId="77777777" w:rsidR="00531E96" w:rsidRDefault="00000000">
      <w:pPr>
        <w:pStyle w:val="ListBullet"/>
      </w:pPr>
      <w:r>
        <w:t>That IIT is empirically confirmed by Buddhist texts</w:t>
      </w:r>
    </w:p>
    <w:p w14:paraId="3173B2CE" w14:textId="77777777" w:rsidR="00531E96" w:rsidRDefault="00000000">
      <w:pPr>
        <w:pStyle w:val="ListBullet"/>
      </w:pPr>
      <w:r>
        <w:t>That the Dragon Girl literally underwent a phase transition in Φ</w:t>
      </w:r>
    </w:p>
    <w:p w14:paraId="3E9F4441" w14:textId="77777777" w:rsidR="00531E96" w:rsidRDefault="00000000">
      <w:pPr>
        <w:pStyle w:val="ListBullet"/>
      </w:pPr>
      <w:r>
        <w:t>That "non-local consciousness" violates physical law</w:t>
      </w:r>
    </w:p>
    <w:p w14:paraId="7F0A4D06" w14:textId="77777777" w:rsidR="00531E96" w:rsidRDefault="00000000">
      <w:r>
        <w:t xml:space="preserve">What it </w:t>
      </w:r>
      <w:r>
        <w:rPr>
          <w:i/>
        </w:rPr>
        <w:t>does</w:t>
      </w:r>
      <w:r>
        <w:t xml:space="preserve"> claim: These frameworks may exhibit structural resonance because they address a common constraint—how to model integrated, irreducible, bounded experience.</w:t>
      </w:r>
    </w:p>
    <w:p w14:paraId="4939D019" w14:textId="77777777" w:rsidR="00531E96" w:rsidRDefault="00000000">
      <w:r>
        <w:rPr>
          <w:b/>
          <w:sz w:val="28"/>
        </w:rPr>
        <w:t>6. Conclusion</w:t>
      </w:r>
    </w:p>
    <w:p w14:paraId="49F11EBB" w14:textId="77777777" w:rsidR="00531E96" w:rsidRDefault="00000000">
      <w:r>
        <w:lastRenderedPageBreak/>
        <w:t>These convergences suggest that both IIT and Tiantai Buddhism may be tracking generic constraints on how integrated consciousness must be structured, whether described mathematically or soteriologically.</w:t>
      </w:r>
    </w:p>
    <w:p w14:paraId="4234C8FF" w14:textId="77777777" w:rsidR="00531E96" w:rsidRDefault="00000000">
      <w:r>
        <w:t>Both frameworks arrive at something like this: reality has an informational structure, experience is irreducible, and the whole is always more than the sum of its parts. The Lotus Sutra was composed around 200 CE; IIT was formalized in 2004. They were developed in completely different contexts, for completely different purposes, using completely different methods.</w:t>
      </w:r>
    </w:p>
    <w:p w14:paraId="7E0FA909" w14:textId="77777777" w:rsidR="00531E96" w:rsidRDefault="00000000">
      <w:r>
        <w:t>And yet the structural parallels persist. The Ten Suchnesses provide vocabulary for integration, dynamics, and ultimate unity that resonates with IIT's axioms. The Dragon Girl narrative offers a model of phase transition. The Wonderful Sound passages describe phenomenological states consistent with boundary dissolution.</w:t>
      </w:r>
    </w:p>
    <w:p w14:paraId="39D4CCA2" w14:textId="77777777" w:rsidR="00531E96" w:rsidRDefault="00000000">
      <w:r>
        <w:t>This is a conceptual proposal, not an empirical test of IIT or a historical thesis about the Lotus Sutra. The value—if any—lies in showing that the problem of consciousness may be constrained enough that radically different intellectual traditions converge on similar structural solutions.</w:t>
      </w:r>
    </w:p>
    <w:p w14:paraId="33BB4130" w14:textId="77777777" w:rsidR="00531E96" w:rsidRDefault="00000000">
      <w:r>
        <w:rPr>
          <w:b/>
          <w:sz w:val="28"/>
        </w:rPr>
        <w:t>Works Cited</w:t>
      </w:r>
    </w:p>
    <w:p w14:paraId="31C09C37" w14:textId="77777777" w:rsidR="00531E96" w:rsidRDefault="00000000">
      <w:pPr>
        <w:pStyle w:val="ListNumber"/>
      </w:pPr>
      <w:r>
        <w:t xml:space="preserve">Albantakis, L., Barbosa, L., Findlay, G., et al. (2023). "Integrated information theory (IIT) 4.0: Formulating the properties of phenomenal existence in physical terms." </w:t>
      </w:r>
      <w:r>
        <w:rPr>
          <w:i/>
        </w:rPr>
        <w:t>PLOS Computational Biology</w:t>
      </w:r>
      <w:r>
        <w:t>, 19(10), e1011465.</w:t>
      </w:r>
    </w:p>
    <w:p w14:paraId="4535B249" w14:textId="77777777" w:rsidR="00531E96" w:rsidRDefault="00000000">
      <w:pPr>
        <w:pStyle w:val="ListNumber"/>
      </w:pPr>
      <w:r>
        <w:t xml:space="preserve">Levering, M. (1982). "The Dragon Girl and the Abbess of Mo-Shan: Gender and Status in the Ch'an Buddhist Tradition." </w:t>
      </w:r>
      <w:r>
        <w:rPr>
          <w:i/>
        </w:rPr>
        <w:t>Journal of the International Association of Buddhist Studies</w:t>
      </w:r>
      <w:r>
        <w:t>, 5(1), 19–35.</w:t>
      </w:r>
    </w:p>
    <w:p w14:paraId="38057F39" w14:textId="77777777" w:rsidR="00531E96" w:rsidRDefault="00000000">
      <w:pPr>
        <w:pStyle w:val="ListNumber"/>
      </w:pPr>
      <w:r>
        <w:t xml:space="preserve">Wheeler, J.A. (1990). "Information, Physics, Quantum: The Search for Links." In W.H. Zurek (Ed.), </w:t>
      </w:r>
      <w:r>
        <w:rPr>
          <w:i/>
        </w:rPr>
        <w:t>Complexity, Entropy, and the Physics of Information</w:t>
      </w:r>
      <w:r>
        <w:t>. Addison-Wesley.</w:t>
      </w:r>
    </w:p>
    <w:p w14:paraId="45EE8C57" w14:textId="77777777" w:rsidR="00531E96" w:rsidRDefault="00000000">
      <w:pPr>
        <w:pStyle w:val="ListNumber"/>
      </w:pPr>
      <w:r>
        <w:lastRenderedPageBreak/>
        <w:t xml:space="preserve">Swanson, P.L. (1989). </w:t>
      </w:r>
      <w:r>
        <w:rPr>
          <w:i/>
        </w:rPr>
        <w:t>Foundations of T'ien-T'ai Philosophy: The Flowering of the Two Truths Theory in Chinese Buddhism</w:t>
      </w:r>
      <w:r>
        <w:t>. Asian Humanities Press.</w:t>
      </w:r>
    </w:p>
    <w:p w14:paraId="6B8ACF41" w14:textId="77777777" w:rsidR="00531E96" w:rsidRDefault="00000000">
      <w:pPr>
        <w:pStyle w:val="ListNumber"/>
      </w:pPr>
      <w:r>
        <w:t xml:space="preserve">Young, S. (2016). </w:t>
      </w:r>
      <w:r>
        <w:rPr>
          <w:i/>
        </w:rPr>
        <w:t>The Science of Enlightenment: How Meditation Works</w:t>
      </w:r>
      <w:r>
        <w:t>. Sounds True.</w:t>
      </w:r>
    </w:p>
    <w:p w14:paraId="473DCECC" w14:textId="77777777" w:rsidR="00531E96" w:rsidRDefault="00000000">
      <w:r>
        <w:rPr>
          <w:i/>
        </w:rPr>
        <w:t>Word Count: ~2,200</w:t>
      </w:r>
    </w:p>
    <w:p w14:paraId="29334E63" w14:textId="77777777" w:rsidR="00531E96" w:rsidRDefault="00000000">
      <w:r>
        <w:rPr>
          <w:i/>
        </w:rPr>
        <w:t>Target: Journal of Consciousness Studies</w:t>
      </w:r>
    </w:p>
    <w:sectPr w:rsidR="00531E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533650">
    <w:abstractNumId w:val="8"/>
  </w:num>
  <w:num w:numId="2" w16cid:durableId="1345404821">
    <w:abstractNumId w:val="6"/>
  </w:num>
  <w:num w:numId="3" w16cid:durableId="1461804497">
    <w:abstractNumId w:val="5"/>
  </w:num>
  <w:num w:numId="4" w16cid:durableId="1264609440">
    <w:abstractNumId w:val="4"/>
  </w:num>
  <w:num w:numId="5" w16cid:durableId="299919028">
    <w:abstractNumId w:val="7"/>
  </w:num>
  <w:num w:numId="6" w16cid:durableId="959841055">
    <w:abstractNumId w:val="3"/>
  </w:num>
  <w:num w:numId="7" w16cid:durableId="335958588">
    <w:abstractNumId w:val="2"/>
  </w:num>
  <w:num w:numId="8" w16cid:durableId="1866602809">
    <w:abstractNumId w:val="1"/>
  </w:num>
  <w:num w:numId="9" w16cid:durableId="103862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32"/>
    <w:rsid w:val="00034616"/>
    <w:rsid w:val="0006063C"/>
    <w:rsid w:val="0015074B"/>
    <w:rsid w:val="0029639D"/>
    <w:rsid w:val="00326F90"/>
    <w:rsid w:val="00531E96"/>
    <w:rsid w:val="00AA1D8D"/>
    <w:rsid w:val="00B47730"/>
    <w:rsid w:val="00B66EB1"/>
    <w:rsid w:val="00CB0664"/>
    <w:rsid w:val="00EE1B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19257"/>
  <w14:defaultImageDpi w14:val="300"/>
  <w15:docId w15:val="{180BE729-A6F4-A042-A117-5438C3435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1762</Words>
  <Characters>10717</Characters>
  <Application>Microsoft Office Word</Application>
  <DocSecurity>0</DocSecurity>
  <Lines>190</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2025-12-28T03:34:00Z</dcterms:modified>
  <cp:category/>
</cp:coreProperties>
</file>