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087D5" w14:textId="77777777" w:rsidR="002B6897" w:rsidRDefault="00000000">
      <w:pPr>
        <w:pStyle w:val="Heading1"/>
      </w:pPr>
      <w:bookmarkStart w:id="0" w:name="X3b8efe88a8ca6919d1e991d3e3c6f3201ff13ff"/>
      <w:r>
        <w:t>The Sacred Architecture of Twenty-Eight: Numerological Totality in Buddhist Canonical Literature</w:t>
      </w:r>
    </w:p>
    <w:p w14:paraId="0597E13B" w14:textId="77777777" w:rsidR="002B6897" w:rsidRDefault="00000000">
      <w:pPr>
        <w:pStyle w:val="FirstParagraph"/>
      </w:pPr>
      <w:r>
        <w:rPr>
          <w:b/>
          <w:bCs/>
        </w:rPr>
        <w:t>William Altig</w:t>
      </w:r>
      <w:r>
        <w:t xml:space="preserve"> </w:t>
      </w:r>
      <w:r>
        <w:rPr>
          <w:i/>
          <w:iCs/>
        </w:rPr>
        <w:t>Independent Scholar, Houston, TX</w:t>
      </w:r>
      <w:r>
        <w:t xml:space="preserve"> </w:t>
      </w:r>
      <w:r>
        <w:rPr>
          <w:i/>
          <w:iCs/>
        </w:rPr>
        <w:t>ORCID: 0009-0000-9877-5450</w:t>
      </w:r>
    </w:p>
    <w:p w14:paraId="2EA848A9" w14:textId="77777777" w:rsidR="002B6897" w:rsidRDefault="00AC73BE">
      <w:r>
        <w:rPr>
          <w:noProof/>
        </w:rPr>
        <w:pict w14:anchorId="7A4CFD6E">
          <v:rect id="_x0000_i1036" alt="" style="width:468pt;height:.05pt;mso-width-percent:0;mso-height-percent:0;mso-width-percent:0;mso-height-percent:0" o:hralign="center" o:hrstd="t" o:hr="t"/>
        </w:pict>
      </w:r>
    </w:p>
    <w:p w14:paraId="08F84607" w14:textId="77777777" w:rsidR="002B6897" w:rsidRDefault="00000000">
      <w:pPr>
        <w:pStyle w:val="Heading2"/>
      </w:pPr>
      <w:bookmarkStart w:id="1" w:name="abstract"/>
      <w:r>
        <w:t>Abstract</w:t>
      </w:r>
    </w:p>
    <w:p w14:paraId="37A32AB9" w14:textId="77777777" w:rsidR="002B6897" w:rsidRDefault="00000000">
      <w:pPr>
        <w:pStyle w:val="FirstParagraph"/>
      </w:pPr>
      <w:r>
        <w:t xml:space="preserve">The structural integrity of Buddhist canonical literature often reflects a sophisticated intersection of cosmological mapping, soteriological intent, and mnemonic tradition. This article argues that the number twenty-eight functions as a deliberate architectonic principle across both Theravāda and Mahāyāna traditions, serving not merely as a quantitative measure but as qualitative scaffolding aligning textual bodies with cosmic order. The prevalence of twenty-eight-chapter structures in the </w:t>
      </w:r>
      <w:r>
        <w:rPr>
          <w:i/>
          <w:iCs/>
        </w:rPr>
        <w:t>Lotus Sūtra</w:t>
      </w:r>
      <w:r>
        <w:t xml:space="preserve"> and Aśvaghoṣa’s </w:t>
      </w:r>
      <w:r>
        <w:rPr>
          <w:i/>
          <w:iCs/>
        </w:rPr>
        <w:t>Buddhacarita</w:t>
      </w:r>
      <w:r>
        <w:t xml:space="preserve">, the enumeration of twenty-eight Buddhas in the </w:t>
      </w:r>
      <w:r>
        <w:rPr>
          <w:i/>
          <w:iCs/>
        </w:rPr>
        <w:t>Buddhavaṃsa</w:t>
      </w:r>
      <w:r>
        <w:t>, and the classification of twenty-eight material qualities (</w:t>
      </w:r>
      <w:r>
        <w:rPr>
          <w:i/>
          <w:iCs/>
        </w:rPr>
        <w:t>rūpa</w:t>
      </w:r>
      <w:r>
        <w:t xml:space="preserve">) in the Abhidhamma suggests intentional numerological architecture rather than editorial coincidence. Drawing on the astronomical significance of the twenty-eight </w:t>
      </w:r>
      <w:r>
        <w:rPr>
          <w:i/>
          <w:iCs/>
        </w:rPr>
        <w:t>nakṣatras</w:t>
      </w:r>
      <w:r>
        <w:t xml:space="preserve"> (lunar mansions), this study proposes a novel “Ideal Canon Hypothesis”: that an original twenty-eight-chapter </w:t>
      </w:r>
      <w:r>
        <w:rPr>
          <w:i/>
          <w:iCs/>
        </w:rPr>
        <w:t>Dhammapada</w:t>
      </w:r>
      <w:r>
        <w:t xml:space="preserve"> may have existed, with evidence of structural merger preserved in the anomalously long twenty-sixth chapter (</w:t>
      </w:r>
      <w:r>
        <w:rPr>
          <w:i/>
          <w:iCs/>
        </w:rPr>
        <w:t>Brāhmaṇavagga</w:t>
      </w:r>
      <w:r>
        <w:t>). This pan-Buddhist numerological framework connects disparate traditions through a shared symbol of totality, bridging the mundane cycles of the heavens with the supramundane path to liberation.</w:t>
      </w:r>
    </w:p>
    <w:p w14:paraId="09AACD2F" w14:textId="77777777" w:rsidR="002B6897" w:rsidRDefault="00000000">
      <w:pPr>
        <w:pStyle w:val="BodyText"/>
      </w:pPr>
      <w:r>
        <w:rPr>
          <w:b/>
          <w:bCs/>
        </w:rPr>
        <w:t>Keywords</w:t>
      </w:r>
      <w:r>
        <w:t>: Buddhist numerology, Lotus Sutra, Dhammapada, twenty-eight Buddhas, nakṣatras, Abhidhamma, textual criticism, pan-Buddhist architecture</w:t>
      </w:r>
    </w:p>
    <w:p w14:paraId="788E2C9B" w14:textId="77777777" w:rsidR="002B6897" w:rsidRDefault="00AC73BE">
      <w:r>
        <w:rPr>
          <w:noProof/>
        </w:rPr>
        <w:pict w14:anchorId="606FADA8">
          <v:rect id="_x0000_i1035" alt="" style="width:468pt;height:.05pt;mso-width-percent:0;mso-height-percent:0;mso-width-percent:0;mso-height-percent:0" o:hralign="center" o:hrstd="t" o:hr="t"/>
        </w:pict>
      </w:r>
    </w:p>
    <w:p w14:paraId="015240C8" w14:textId="77777777" w:rsidR="002B6897" w:rsidRDefault="00000000">
      <w:pPr>
        <w:pStyle w:val="Heading2"/>
      </w:pPr>
      <w:bookmarkStart w:id="2" w:name="introduction"/>
      <w:bookmarkEnd w:id="1"/>
      <w:r>
        <w:t>1. Introduction</w:t>
      </w:r>
    </w:p>
    <w:p w14:paraId="4B8BDF8B" w14:textId="77777777" w:rsidR="002B6897" w:rsidRDefault="00000000">
      <w:pPr>
        <w:pStyle w:val="FirstParagraph"/>
      </w:pPr>
      <w:r>
        <w:t>Twenty-eight. The number appears too often to be coincidence. In traditions where oral transmission preceded written codification, structural features served mnemonic, liturgical, and cosmological functions simultaneously. Within Buddhist canonical literature, one numerical pattern recurs with striking consistency: the number twenty-eight.</w:t>
      </w:r>
    </w:p>
    <w:p w14:paraId="500BBBC0" w14:textId="77777777" w:rsidR="002B6897" w:rsidRDefault="00000000">
      <w:pPr>
        <w:pStyle w:val="BodyText"/>
      </w:pPr>
      <w:r>
        <w:t xml:space="preserve">This number appears across traditions and genres: - The </w:t>
      </w:r>
      <w:r>
        <w:rPr>
          <w:b/>
          <w:bCs/>
        </w:rPr>
        <w:t>Lotus Sūtra</w:t>
      </w:r>
      <w:r>
        <w:t xml:space="preserve"> (</w:t>
      </w:r>
      <w:r>
        <w:rPr>
          <w:i/>
          <w:iCs/>
        </w:rPr>
        <w:t>Saddharmapuṇḍarīka</w:t>
      </w:r>
      <w:r>
        <w:t xml:space="preserve">) in Kumārajīva’s definitive translation (406 CE) comprises twenty-eight chapters - The </w:t>
      </w:r>
      <w:r>
        <w:rPr>
          <w:b/>
          <w:bCs/>
        </w:rPr>
        <w:t>Buddhavaṃsa</w:t>
      </w:r>
      <w:r>
        <w:t xml:space="preserve"> chronicles twenty-eight </w:t>
      </w:r>
      <w:r>
        <w:rPr>
          <w:i/>
          <w:iCs/>
        </w:rPr>
        <w:t>Sammā Sambuddhas</w:t>
      </w:r>
      <w:r>
        <w:t xml:space="preserve"> (Perfectly Enlightened Ones) - The </w:t>
      </w:r>
      <w:r>
        <w:rPr>
          <w:b/>
          <w:bCs/>
        </w:rPr>
        <w:t>Buddhacarita</w:t>
      </w:r>
      <w:r>
        <w:t xml:space="preserve"> of Aśvaghoṣa contains twenty-eight cantos - The </w:t>
      </w:r>
      <w:r>
        <w:rPr>
          <w:b/>
          <w:bCs/>
        </w:rPr>
        <w:t>Abhidhamma</w:t>
      </w:r>
      <w:r>
        <w:t xml:space="preserve"> classifies exactly twenty-eight types of </w:t>
      </w:r>
      <w:r>
        <w:rPr>
          <w:i/>
          <w:iCs/>
        </w:rPr>
        <w:t>rūpa</w:t>
      </w:r>
      <w:r>
        <w:t xml:space="preserve"> (material form) - The </w:t>
      </w:r>
      <w:r>
        <w:rPr>
          <w:b/>
          <w:bCs/>
        </w:rPr>
        <w:t>Mahāsaddanīti</w:t>
      </w:r>
      <w:r>
        <w:t>, a major Pāli grammatical treatise, spans twenty-eight chapters</w:t>
      </w:r>
    </w:p>
    <w:p w14:paraId="6D2E9B66" w14:textId="77777777" w:rsidR="002B6897" w:rsidRDefault="00000000">
      <w:pPr>
        <w:pStyle w:val="BodyText"/>
      </w:pPr>
      <w:r>
        <w:lastRenderedPageBreak/>
        <w:t xml:space="preserve">The convergence of this number across Theravāda scholasticism, Mahāyāna scripture, and Sanskrit epic poetry suggests more than coincidence. This article proposes that twenty-eight functions as a symbol of </w:t>
      </w:r>
      <w:r>
        <w:rPr>
          <w:b/>
          <w:bCs/>
        </w:rPr>
        <w:t>cosmological totality</w:t>
      </w:r>
      <w:r>
        <w:t xml:space="preserve">, derived from the twenty-eight </w:t>
      </w:r>
      <w:r>
        <w:rPr>
          <w:i/>
          <w:iCs/>
        </w:rPr>
        <w:t>nakṣatras</w:t>
      </w:r>
      <w:r>
        <w:t xml:space="preserve"> (lunar mansions) that structured Indian astronomical and calendrical systems.</w:t>
      </w:r>
    </w:p>
    <w:p w14:paraId="300C926A" w14:textId="77777777" w:rsidR="002B6897" w:rsidRDefault="00000000">
      <w:pPr>
        <w:pStyle w:val="BodyText"/>
      </w:pPr>
      <w:r>
        <w:t xml:space="preserve">Furthermore, this study advances a novel hypothesis: that the Pāli </w:t>
      </w:r>
      <w:r>
        <w:rPr>
          <w:i/>
          <w:iCs/>
        </w:rPr>
        <w:t>Dhammapada</w:t>
      </w:r>
      <w:r>
        <w:t xml:space="preserve">, currently preserved in twenty-six chapters, may represent a </w:t>
      </w:r>
      <w:r>
        <w:rPr>
          <w:b/>
          <w:bCs/>
        </w:rPr>
        <w:t>contracted form</w:t>
      </w:r>
      <w:r>
        <w:t xml:space="preserve"> of an original twenty-eight-chapter text. Evidence for this hypothesis includes the anomalous length of the final chapter (</w:t>
      </w:r>
      <w:r>
        <w:rPr>
          <w:i/>
          <w:iCs/>
        </w:rPr>
        <w:t>Brāhmaṇavagga</w:t>
      </w:r>
      <w:r>
        <w:t xml:space="preserve">, 41 verses), the absence of a dedicated </w:t>
      </w:r>
      <w:r>
        <w:rPr>
          <w:i/>
          <w:iCs/>
        </w:rPr>
        <w:t>Nibbānavagga</w:t>
      </w:r>
      <w:r>
        <w:t xml:space="preserve"> despite Nirvāṇa being the central soteriological goal, and comparative analysis with the Sanskrit </w:t>
      </w:r>
      <w:r>
        <w:rPr>
          <w:i/>
          <w:iCs/>
        </w:rPr>
        <w:t>Udānavarga</w:t>
      </w:r>
      <w:r>
        <w:t xml:space="preserve"> (which preserves distinct Nirvāṇa and Tathāgata chapters).</w:t>
      </w:r>
    </w:p>
    <w:p w14:paraId="6D59B7CF" w14:textId="77777777" w:rsidR="002B6897" w:rsidRDefault="00AC73BE">
      <w:r>
        <w:rPr>
          <w:noProof/>
        </w:rPr>
        <w:pict w14:anchorId="604B3CA0">
          <v:rect id="_x0000_i1034" alt="" style="width:468pt;height:.05pt;mso-width-percent:0;mso-height-percent:0;mso-width-percent:0;mso-height-percent:0" o:hralign="center" o:hrstd="t" o:hr="t"/>
        </w:pict>
      </w:r>
    </w:p>
    <w:p w14:paraId="25ED6F18" w14:textId="77777777" w:rsidR="002B6897" w:rsidRDefault="00000000">
      <w:pPr>
        <w:pStyle w:val="Heading2"/>
      </w:pPr>
      <w:bookmarkStart w:id="3" w:name="X5a50d0af77c174ee6370a63deb4cbc184a05b95"/>
      <w:bookmarkEnd w:id="2"/>
      <w:r>
        <w:t>2. The Astronomical Foundation: Twenty-Eight Nakṣatras</w:t>
      </w:r>
    </w:p>
    <w:p w14:paraId="20CBBEF7" w14:textId="77777777" w:rsidR="002B6897" w:rsidRDefault="00000000">
      <w:pPr>
        <w:pStyle w:val="FirstParagraph"/>
      </w:pPr>
      <w:r>
        <w:t xml:space="preserve">The significance of twenty-eight in the Indian subcontinent is rooted in ancient astronomical observation. The Indian celestial system identified twenty-eight </w:t>
      </w:r>
      <w:r>
        <w:rPr>
          <w:i/>
          <w:iCs/>
        </w:rPr>
        <w:t>nakṣatras</w:t>
      </w:r>
      <w:r>
        <w:t>—distinct constellations through which the moon passes during its sidereal month of approximately 27.32 days. The inclusion of an intercalary mansion (often Abhijit, located between Uttarāṣāḍhā and Śravaṇa) completed the symbolic circle of twenty-eight, representing a closed, perfect cycle.</w:t>
      </w:r>
    </w:p>
    <w:p w14:paraId="4369DC00" w14:textId="77777777" w:rsidR="002B6897" w:rsidRDefault="00000000">
      <w:pPr>
        <w:pStyle w:val="BodyText"/>
      </w:pPr>
      <w:r>
        <w:t xml:space="preserve">The ancient Indian calendar assigned these 28 lunar mansions unequal extents measured in </w:t>
      </w:r>
      <w:r>
        <w:rPr>
          <w:i/>
          <w:iCs/>
        </w:rPr>
        <w:t>muhūrtas</w:t>
      </w:r>
      <w:r>
        <w:t xml:space="preserve"> (48-minute segments): - 16 nakṣatras: 30 muhūrtas each - 6 nakṣatras: 45 muhūrtas each</w:t>
      </w:r>
      <w:r>
        <w:br/>
        <w:t>- 5 nakṣatras: 15 muhūrtas each - 1 nakṣatra (Abhijit): 6 muhūrtas</w:t>
      </w:r>
    </w:p>
    <w:p w14:paraId="4F29D6C6" w14:textId="77777777" w:rsidR="002B6897" w:rsidRDefault="00000000">
      <w:pPr>
        <w:pStyle w:val="BodyText"/>
      </w:pPr>
      <w:r>
        <w:t xml:space="preserve">As Indian astronomy encountered the solar calendar in the early centuries CE, mathematicians reduced the count from 28 to 27—a necessity because 360° divides evenly by 27 (13°20′ per mansion) but not by 28 (≈12°51′). The adoption of 27 also enabled subdivision into four </w:t>
      </w:r>
      <w:r>
        <w:rPr>
          <w:i/>
          <w:iCs/>
        </w:rPr>
        <w:t>padas</w:t>
      </w:r>
      <w:r>
        <w:t xml:space="preserve"> (quarters), yielding 108 total padas—a number that became sacred in both Buddhist and Hindu numerology. Yet the archaic 28-count persisted in cosmological and liturgical contexts, preserving its symbolic weight.</w:t>
      </w:r>
    </w:p>
    <w:p w14:paraId="13213D8D" w14:textId="77777777" w:rsidR="002B6897" w:rsidRDefault="00000000">
      <w:pPr>
        <w:pStyle w:val="BodyText"/>
      </w:pPr>
      <w:r>
        <w:t>Archaeological evidence confirms the antiquity and pan-Asian reach of this framework. The lacquered wooden box found in the tomb of Marquis Yi of Zeng (433 BCE) bears the names of the twenty-eight constellations in seal script, demonstrating that this astronomical system crossed cultural and linguistic boundaries along ancient trade routes.</w:t>
      </w:r>
    </w:p>
    <w:p w14:paraId="7D4318F8" w14:textId="77777777" w:rsidR="002B6897" w:rsidRDefault="00000000">
      <w:pPr>
        <w:pStyle w:val="BodyText"/>
      </w:pPr>
      <w:r>
        <w:t xml:space="preserve">In Buddhist cosmology, this astronomical reality was adopted to illustrate the vastness of the universe and the rhythmic appearance of enlightened beings across infinite aeons. By aligning sacred literature with the twenty-eight-fold division of the heavens, early Buddhist redactors imbued their texts with cosmic authority. The </w:t>
      </w:r>
      <w:r>
        <w:rPr>
          <w:i/>
          <w:iCs/>
        </w:rPr>
        <w:t>Dhamma</w:t>
      </w:r>
      <w:r>
        <w:t xml:space="preserve"> was thus positioned not as a local or temporal phenomenon but as a universal constant, mirroring the precision of celestial mechanics.</w:t>
      </w:r>
    </w:p>
    <w:p w14:paraId="1221DEA1" w14:textId="77777777" w:rsidR="002B6897" w:rsidRDefault="00AC73BE">
      <w:r>
        <w:rPr>
          <w:noProof/>
        </w:rPr>
        <w:lastRenderedPageBreak/>
        <w:pict w14:anchorId="41B3149C">
          <v:rect id="_x0000_i1033" alt="" style="width:468pt;height:.05pt;mso-width-percent:0;mso-height-percent:0;mso-width-percent:0;mso-height-percent:0" o:hralign="center" o:hrstd="t" o:hr="t"/>
        </w:pict>
      </w:r>
    </w:p>
    <w:p w14:paraId="3866759E" w14:textId="77777777" w:rsidR="002B6897" w:rsidRDefault="00000000">
      <w:pPr>
        <w:pStyle w:val="Heading2"/>
      </w:pPr>
      <w:bookmarkStart w:id="4" w:name="X0d347c2971d6c302bcfd7c2f5b38090b59db609"/>
      <w:bookmarkEnd w:id="3"/>
      <w:r>
        <w:t>3. The Twenty-Eight Buddhas of the Buddhavaṃsa</w:t>
      </w:r>
    </w:p>
    <w:p w14:paraId="4DBB11E7" w14:textId="77777777" w:rsidR="002B6897" w:rsidRDefault="00000000">
      <w:pPr>
        <w:pStyle w:val="FirstParagraph"/>
      </w:pPr>
      <w:r>
        <w:t xml:space="preserve">The </w:t>
      </w:r>
      <w:r>
        <w:rPr>
          <w:i/>
          <w:iCs/>
        </w:rPr>
        <w:t>Buddhavaṃsa</w:t>
      </w:r>
      <w:r>
        <w:t xml:space="preserve"> (“Lineage of Buddhas”), a text of the Theravāda Khuddaka Nikāya, provides a chronological account of the twenty-eight </w:t>
      </w:r>
      <w:r>
        <w:rPr>
          <w:i/>
          <w:iCs/>
        </w:rPr>
        <w:t>Sammā Sambuddhas</w:t>
      </w:r>
      <w:r>
        <w:t xml:space="preserve"> who have appeared across world-cycles to rediscover and preach the Dhamma. This lineage documents the historical continuity of enlightenment, suggesting that the truth discovered by Gotama Buddha is the same truth rediscovered by his predecessors across incalculable periods of time.</w:t>
      </w:r>
    </w:p>
    <w:p w14:paraId="1CAAAD27" w14:textId="77777777" w:rsidR="002B6897" w:rsidRDefault="00000000">
      <w:pPr>
        <w:pStyle w:val="BodyText"/>
      </w:pPr>
      <w:r>
        <w:t>The text provides meticulous biographical data for each Buddha:</w:t>
      </w:r>
    </w:p>
    <w:tbl>
      <w:tblPr>
        <w:tblStyle w:val="Table"/>
        <w:tblW w:w="0" w:type="auto"/>
        <w:tblLook w:val="0020" w:firstRow="1" w:lastRow="0" w:firstColumn="0" w:lastColumn="0" w:noHBand="0" w:noVBand="0"/>
      </w:tblPr>
      <w:tblGrid>
        <w:gridCol w:w="587"/>
        <w:gridCol w:w="1423"/>
        <w:gridCol w:w="1925"/>
        <w:gridCol w:w="3743"/>
      </w:tblGrid>
      <w:tr w:rsidR="002B6897" w14:paraId="22EE3A21" w14:textId="77777777" w:rsidTr="002B6897">
        <w:trPr>
          <w:cnfStyle w:val="100000000000" w:firstRow="1" w:lastRow="0" w:firstColumn="0" w:lastColumn="0" w:oddVBand="0" w:evenVBand="0" w:oddHBand="0" w:evenHBand="0" w:firstRowFirstColumn="0" w:firstRowLastColumn="0" w:lastRowFirstColumn="0" w:lastRowLastColumn="0"/>
          <w:tblHeader/>
        </w:trPr>
        <w:tc>
          <w:tcPr>
            <w:tcW w:w="0" w:type="auto"/>
          </w:tcPr>
          <w:p w14:paraId="5AC169AA" w14:textId="77777777" w:rsidR="002B6897" w:rsidRDefault="00000000">
            <w:pPr>
              <w:pStyle w:val="Compact"/>
            </w:pPr>
            <w:r>
              <w:t>No.</w:t>
            </w:r>
          </w:p>
        </w:tc>
        <w:tc>
          <w:tcPr>
            <w:tcW w:w="0" w:type="auto"/>
          </w:tcPr>
          <w:p w14:paraId="48FF76F3" w14:textId="77777777" w:rsidR="002B6897" w:rsidRDefault="00000000">
            <w:pPr>
              <w:pStyle w:val="Compact"/>
            </w:pPr>
            <w:r>
              <w:t>Pāli Name</w:t>
            </w:r>
          </w:p>
        </w:tc>
        <w:tc>
          <w:tcPr>
            <w:tcW w:w="0" w:type="auto"/>
          </w:tcPr>
          <w:p w14:paraId="0B831A1A" w14:textId="77777777" w:rsidR="002B6897" w:rsidRDefault="00000000">
            <w:pPr>
              <w:pStyle w:val="Compact"/>
            </w:pPr>
            <w:r>
              <w:t>Bodhi Tree</w:t>
            </w:r>
          </w:p>
        </w:tc>
        <w:tc>
          <w:tcPr>
            <w:tcW w:w="0" w:type="auto"/>
          </w:tcPr>
          <w:p w14:paraId="3F8D1869" w14:textId="77777777" w:rsidR="002B6897" w:rsidRDefault="00000000">
            <w:pPr>
              <w:pStyle w:val="Compact"/>
            </w:pPr>
            <w:r>
              <w:t>Significance</w:t>
            </w:r>
          </w:p>
        </w:tc>
      </w:tr>
      <w:tr w:rsidR="002B6897" w14:paraId="40ABF518" w14:textId="77777777">
        <w:tc>
          <w:tcPr>
            <w:tcW w:w="0" w:type="auto"/>
          </w:tcPr>
          <w:p w14:paraId="2838D07E" w14:textId="77777777" w:rsidR="002B6897" w:rsidRDefault="00000000">
            <w:pPr>
              <w:pStyle w:val="Compact"/>
            </w:pPr>
            <w:r>
              <w:t>1</w:t>
            </w:r>
          </w:p>
        </w:tc>
        <w:tc>
          <w:tcPr>
            <w:tcW w:w="0" w:type="auto"/>
          </w:tcPr>
          <w:p w14:paraId="26A336B6" w14:textId="77777777" w:rsidR="002B6897" w:rsidRDefault="00000000">
            <w:pPr>
              <w:pStyle w:val="Compact"/>
            </w:pPr>
            <w:r>
              <w:t>Taṇhaṅkara</w:t>
            </w:r>
          </w:p>
        </w:tc>
        <w:tc>
          <w:tcPr>
            <w:tcW w:w="0" w:type="auto"/>
          </w:tcPr>
          <w:p w14:paraId="5E769BCA" w14:textId="77777777" w:rsidR="002B6897" w:rsidRDefault="00000000">
            <w:pPr>
              <w:pStyle w:val="Compact"/>
            </w:pPr>
            <w:r>
              <w:t>Rukkaththana</w:t>
            </w:r>
          </w:p>
        </w:tc>
        <w:tc>
          <w:tcPr>
            <w:tcW w:w="0" w:type="auto"/>
          </w:tcPr>
          <w:p w14:paraId="07436CA7" w14:textId="77777777" w:rsidR="002B6897" w:rsidRDefault="00000000">
            <w:pPr>
              <w:pStyle w:val="Compact"/>
            </w:pPr>
            <w:r>
              <w:t>First of the lineage</w:t>
            </w:r>
          </w:p>
        </w:tc>
      </w:tr>
      <w:tr w:rsidR="002B6897" w14:paraId="41E05892" w14:textId="77777777">
        <w:tc>
          <w:tcPr>
            <w:tcW w:w="0" w:type="auto"/>
          </w:tcPr>
          <w:p w14:paraId="1FE67CED" w14:textId="77777777" w:rsidR="002B6897" w:rsidRDefault="00000000">
            <w:pPr>
              <w:pStyle w:val="Compact"/>
            </w:pPr>
            <w:r>
              <w:t>4</w:t>
            </w:r>
          </w:p>
        </w:tc>
        <w:tc>
          <w:tcPr>
            <w:tcW w:w="0" w:type="auto"/>
          </w:tcPr>
          <w:p w14:paraId="68535674" w14:textId="77777777" w:rsidR="002B6897" w:rsidRDefault="00000000">
            <w:pPr>
              <w:pStyle w:val="Compact"/>
            </w:pPr>
            <w:r>
              <w:t>Dīpaṃkara</w:t>
            </w:r>
          </w:p>
        </w:tc>
        <w:tc>
          <w:tcPr>
            <w:tcW w:w="0" w:type="auto"/>
          </w:tcPr>
          <w:p w14:paraId="60288F7C" w14:textId="77777777" w:rsidR="002B6897" w:rsidRDefault="00000000">
            <w:pPr>
              <w:pStyle w:val="Compact"/>
            </w:pPr>
            <w:r>
              <w:t>Pipphala</w:t>
            </w:r>
          </w:p>
        </w:tc>
        <w:tc>
          <w:tcPr>
            <w:tcW w:w="0" w:type="auto"/>
          </w:tcPr>
          <w:p w14:paraId="0F155EBE" w14:textId="77777777" w:rsidR="002B6897" w:rsidRDefault="00000000">
            <w:pPr>
              <w:pStyle w:val="Compact"/>
            </w:pPr>
            <w:r>
              <w:t>Prophesied the future Gotama</w:t>
            </w:r>
          </w:p>
        </w:tc>
      </w:tr>
      <w:tr w:rsidR="002B6897" w14:paraId="11F980EE" w14:textId="77777777">
        <w:tc>
          <w:tcPr>
            <w:tcW w:w="0" w:type="auto"/>
          </w:tcPr>
          <w:p w14:paraId="56B29FB2" w14:textId="77777777" w:rsidR="002B6897" w:rsidRDefault="00000000">
            <w:pPr>
              <w:pStyle w:val="Compact"/>
            </w:pPr>
            <w:r>
              <w:t>22</w:t>
            </w:r>
          </w:p>
        </w:tc>
        <w:tc>
          <w:tcPr>
            <w:tcW w:w="0" w:type="auto"/>
          </w:tcPr>
          <w:p w14:paraId="1DA55485" w14:textId="77777777" w:rsidR="002B6897" w:rsidRDefault="00000000">
            <w:pPr>
              <w:pStyle w:val="Compact"/>
            </w:pPr>
            <w:r>
              <w:t>Vipassī</w:t>
            </w:r>
          </w:p>
        </w:tc>
        <w:tc>
          <w:tcPr>
            <w:tcW w:w="0" w:type="auto"/>
          </w:tcPr>
          <w:p w14:paraId="6AA83886" w14:textId="77777777" w:rsidR="002B6897" w:rsidRDefault="00000000">
            <w:pPr>
              <w:pStyle w:val="Compact"/>
            </w:pPr>
            <w:r>
              <w:t>Pāṭalī</w:t>
            </w:r>
          </w:p>
        </w:tc>
        <w:tc>
          <w:tcPr>
            <w:tcW w:w="0" w:type="auto"/>
          </w:tcPr>
          <w:p w14:paraId="528D4E16" w14:textId="77777777" w:rsidR="002B6897" w:rsidRDefault="00000000">
            <w:pPr>
              <w:pStyle w:val="Compact"/>
            </w:pPr>
            <w:r>
              <w:t xml:space="preserve">First Buddha of our </w:t>
            </w:r>
            <w:r>
              <w:rPr>
                <w:i/>
                <w:iCs/>
              </w:rPr>
              <w:t>bhadda-kappa</w:t>
            </w:r>
          </w:p>
        </w:tc>
      </w:tr>
      <w:tr w:rsidR="002B6897" w14:paraId="3333CAD6" w14:textId="77777777">
        <w:tc>
          <w:tcPr>
            <w:tcW w:w="0" w:type="auto"/>
          </w:tcPr>
          <w:p w14:paraId="2BD3E342" w14:textId="77777777" w:rsidR="002B6897" w:rsidRDefault="00000000">
            <w:pPr>
              <w:pStyle w:val="Compact"/>
            </w:pPr>
            <w:r>
              <w:t>28</w:t>
            </w:r>
          </w:p>
        </w:tc>
        <w:tc>
          <w:tcPr>
            <w:tcW w:w="0" w:type="auto"/>
          </w:tcPr>
          <w:p w14:paraId="7AC228AD" w14:textId="77777777" w:rsidR="002B6897" w:rsidRDefault="00000000">
            <w:pPr>
              <w:pStyle w:val="Compact"/>
            </w:pPr>
            <w:r>
              <w:t>Gotama</w:t>
            </w:r>
          </w:p>
        </w:tc>
        <w:tc>
          <w:tcPr>
            <w:tcW w:w="0" w:type="auto"/>
          </w:tcPr>
          <w:p w14:paraId="059F5C8D" w14:textId="77777777" w:rsidR="002B6897" w:rsidRDefault="00000000">
            <w:pPr>
              <w:pStyle w:val="Compact"/>
            </w:pPr>
            <w:r>
              <w:t>Assattha (Bodhi)</w:t>
            </w:r>
          </w:p>
        </w:tc>
        <w:tc>
          <w:tcPr>
            <w:tcW w:w="0" w:type="auto"/>
          </w:tcPr>
          <w:p w14:paraId="4DAE4FAF" w14:textId="77777777" w:rsidR="002B6897" w:rsidRDefault="00000000">
            <w:pPr>
              <w:pStyle w:val="Compact"/>
            </w:pPr>
            <w:r>
              <w:t>Historical Buddha</w:t>
            </w:r>
          </w:p>
        </w:tc>
      </w:tr>
    </w:tbl>
    <w:p w14:paraId="64F93A8C" w14:textId="77777777" w:rsidR="002B6897" w:rsidRDefault="00000000">
      <w:pPr>
        <w:pStyle w:val="BodyText"/>
      </w:pPr>
      <w:r>
        <w:t>The structural logic of twenty-eight Buddhas mirrors the astronomical cycle of the lunar mansions. Just as twenty-eight mansions represent a full rotation of the moon, twenty-eight Buddhas represent the full scope of known hagiographic history. While scripture acknowledges that Buddhas are technically infinite across time, the set of twenty-eight serves as the “complete” historical lineage preserved by the tradition.</w:t>
      </w:r>
    </w:p>
    <w:p w14:paraId="4847FFA6" w14:textId="77777777" w:rsidR="002B6897" w:rsidRDefault="00000000">
      <w:pPr>
        <w:pStyle w:val="BodyText"/>
      </w:pPr>
      <w:r>
        <w:t xml:space="preserve">The </w:t>
      </w:r>
      <w:r>
        <w:rPr>
          <w:b/>
          <w:bCs/>
        </w:rPr>
        <w:t>Atthavīsati Paritta</w:t>
      </w:r>
      <w:r>
        <w:t xml:space="preserve"> (Protective Chant of Twenty-Eight Buddhas) extends this numerological architecture into liturgical practice, invoking the unique qualities of each Buddha for protection against malevolent forces.</w:t>
      </w:r>
    </w:p>
    <w:p w14:paraId="0D2767A3" w14:textId="77777777" w:rsidR="002B6897" w:rsidRDefault="00AC73BE">
      <w:r>
        <w:rPr>
          <w:noProof/>
        </w:rPr>
        <w:pict w14:anchorId="41DCAB03">
          <v:rect id="_x0000_i1032" alt="" style="width:468pt;height:.05pt;mso-width-percent:0;mso-height-percent:0;mso-width-percent:0;mso-height-percent:0" o:hralign="center" o:hrstd="t" o:hr="t"/>
        </w:pict>
      </w:r>
    </w:p>
    <w:p w14:paraId="3BBF9402" w14:textId="77777777" w:rsidR="002B6897" w:rsidRDefault="00000000">
      <w:pPr>
        <w:pStyle w:val="Heading2"/>
      </w:pPr>
      <w:bookmarkStart w:id="5" w:name="Xc84dd613234b9444d113361628e44847f48085c"/>
      <w:bookmarkEnd w:id="4"/>
      <w:r>
        <w:t>4. The Lotus Sūtra: Twenty-Eight Chapters as Cosmic Structure</w:t>
      </w:r>
    </w:p>
    <w:p w14:paraId="3F9DE89E" w14:textId="77777777" w:rsidR="002B6897" w:rsidRDefault="00000000">
      <w:pPr>
        <w:pStyle w:val="Heading3"/>
      </w:pPr>
      <w:bookmarkStart w:id="6" w:name="kumārajīvas-standardization"/>
      <w:r>
        <w:t>4.1 Kumārajīva’s Standardization</w:t>
      </w:r>
    </w:p>
    <w:p w14:paraId="27F1D1B6" w14:textId="77777777" w:rsidR="002B6897" w:rsidRDefault="00000000">
      <w:pPr>
        <w:pStyle w:val="FirstParagraph"/>
      </w:pPr>
      <w:r>
        <w:t xml:space="preserve">The </w:t>
      </w:r>
      <w:r>
        <w:rPr>
          <w:i/>
          <w:iCs/>
        </w:rPr>
        <w:t>Lotus Sūtra</w:t>
      </w:r>
      <w:r>
        <w:t xml:space="preserve"> exists in multiple translations, but Kumārajīva’s version (406 CE) became definitive in East Asia. Significantly, Kumārajīva standardized the text at </w:t>
      </w:r>
      <w:r>
        <w:rPr>
          <w:b/>
          <w:bCs/>
        </w:rPr>
        <w:t>twenty-eight chapters</w:t>
      </w:r>
      <w:r>
        <w:t>, whereas Dharmarakṣa’s earlier translation (286 CE) contained only twenty-seven.</w:t>
      </w:r>
    </w:p>
    <w:p w14:paraId="03070491" w14:textId="77777777" w:rsidR="002B6897" w:rsidRDefault="00000000">
      <w:pPr>
        <w:pStyle w:val="BodyText"/>
      </w:pPr>
      <w:r>
        <w:t>This standardization was not merely editorial but reflects the “cultural and cosmological gravity” of the number twenty-eight. By aligning the sūtra with this sacred number, Kumārajīva facilitated its acceptance as a “complete” and perfect scripture.</w:t>
      </w:r>
    </w:p>
    <w:p w14:paraId="3F46F329" w14:textId="77777777" w:rsidR="002B6897" w:rsidRDefault="00000000">
      <w:pPr>
        <w:pStyle w:val="Heading3"/>
      </w:pPr>
      <w:bookmarkStart w:id="7" w:name="zhiyis-tiantai-exegesis"/>
      <w:bookmarkEnd w:id="6"/>
      <w:r>
        <w:lastRenderedPageBreak/>
        <w:t>4.2 Zhiyi’s Tiantai Exegesis</w:t>
      </w:r>
    </w:p>
    <w:p w14:paraId="1FEB467D" w14:textId="77777777" w:rsidR="002B6897" w:rsidRDefault="00000000">
      <w:pPr>
        <w:pStyle w:val="FirstParagraph"/>
      </w:pPr>
      <w:r>
        <w:t>The Chinese Tiantai patriarch Zhiyi (538–597) provided the definitive interpretation of the twenty-eight-chapter structure, dividing the text into two equal halves:</w:t>
      </w:r>
    </w:p>
    <w:p w14:paraId="1FFBE4AE" w14:textId="77777777" w:rsidR="002B6897" w:rsidRDefault="00000000">
      <w:pPr>
        <w:pStyle w:val="BodyText"/>
      </w:pPr>
      <w:r>
        <w:rPr>
          <w:b/>
          <w:bCs/>
        </w:rPr>
        <w:t>The Trace Teaching (Chapters 1–14)</w:t>
      </w:r>
      <w:r>
        <w:t xml:space="preserve"> — </w:t>
      </w:r>
      <w:r>
        <w:rPr>
          <w:i/>
          <w:iCs/>
        </w:rPr>
        <w:t>jimen</w:t>
      </w:r>
      <w:r>
        <w:t xml:space="preserve"> / </w:t>
      </w:r>
      <w:r>
        <w:rPr>
          <w:i/>
          <w:iCs/>
        </w:rPr>
        <w:t>shakumon</w:t>
      </w:r>
      <w:r>
        <w:t xml:space="preserve"> - Focuses on the historical Śākyamuni Buddha - Expounds the doctrine of “One Vehicle” (</w:t>
      </w:r>
      <w:r>
        <w:rPr>
          <w:i/>
          <w:iCs/>
        </w:rPr>
        <w:t>ekayāna</w:t>
      </w:r>
      <w:r>
        <w:t>) - Reveals that diverse paths (śrāvakas, pratyekabuddhas, bodhisattvas) are “skillful means” leading to unified enlightenment</w:t>
      </w:r>
    </w:p>
    <w:p w14:paraId="1D80B4B0" w14:textId="77777777" w:rsidR="002B6897" w:rsidRDefault="00000000">
      <w:pPr>
        <w:pStyle w:val="BodyText"/>
      </w:pPr>
      <w:r>
        <w:rPr>
          <w:b/>
          <w:bCs/>
        </w:rPr>
        <w:t>The Fundamental Teaching (Chapters 15–28)</w:t>
      </w:r>
      <w:r>
        <w:t xml:space="preserve"> — </w:t>
      </w:r>
      <w:r>
        <w:rPr>
          <w:i/>
          <w:iCs/>
        </w:rPr>
        <w:t>benmen</w:t>
      </w:r>
      <w:r>
        <w:t xml:space="preserve"> / </w:t>
      </w:r>
      <w:r>
        <w:rPr>
          <w:i/>
          <w:iCs/>
        </w:rPr>
        <w:t>honmon</w:t>
      </w:r>
      <w:r>
        <w:t xml:space="preserve"> - Centers on the “Eternal Buddha” - Reveals the immeasurable lifespan of the Buddha—enlightened since the infinite past - Emphasizes the bodhisattva way in the present age</w:t>
      </w:r>
    </w:p>
    <w:p w14:paraId="6DA096BB" w14:textId="77777777" w:rsidR="002B6897" w:rsidRDefault="00000000">
      <w:pPr>
        <w:pStyle w:val="BodyText"/>
      </w:pPr>
      <w:r>
        <w:t>Zhiyi’s famous metaphor: the fundamental teaching is the moon in the sky; the trace teaching is the moon reflected in a lake. The eternal Buddha (source) manifests as the historical Buddha (reflection).</w:t>
      </w:r>
    </w:p>
    <w:p w14:paraId="44C3791F" w14:textId="77777777" w:rsidR="002B6897" w:rsidRDefault="00000000">
      <w:pPr>
        <w:pStyle w:val="Heading3"/>
      </w:pPr>
      <w:bookmarkStart w:id="8" w:name="X7c1d15e76c1fd9e7436b34d52ef283ea347536a"/>
      <w:bookmarkEnd w:id="7"/>
      <w:r>
        <w:t>4.3 Visual Manifestation: Jeweled Pagoda Mandalas</w:t>
      </w:r>
    </w:p>
    <w:p w14:paraId="1A0A7766" w14:textId="77777777" w:rsidR="002B6897" w:rsidRDefault="00000000">
      <w:pPr>
        <w:pStyle w:val="FirstParagraph"/>
      </w:pPr>
      <w:r>
        <w:t xml:space="preserve">The sacred nature of the twenty-eight-chapter structure is visually manifest in Japanese </w:t>
      </w:r>
      <w:r>
        <w:rPr>
          <w:i/>
          <w:iCs/>
        </w:rPr>
        <w:t>Kinji hōtō mandara</w:t>
      </w:r>
      <w:r>
        <w:t xml:space="preserve"> (Jeweled Pagoda Mandalas). In these works, the entire text of the </w:t>
      </w:r>
      <w:r>
        <w:rPr>
          <w:i/>
          <w:iCs/>
        </w:rPr>
        <w:t>Lotus Sūtra</w:t>
      </w:r>
      <w:r>
        <w:t>—all twenty-eight chapters—is transcribed in minute golden characters forming the shape of a reliquary pagoda. The twenty-eight chapters become the literal “body” of the cosmic Buddha.</w:t>
      </w:r>
    </w:p>
    <w:p w14:paraId="1E93556E" w14:textId="77777777" w:rsidR="002B6897" w:rsidRDefault="00AC73BE">
      <w:r>
        <w:rPr>
          <w:noProof/>
        </w:rPr>
        <w:pict w14:anchorId="163C4B77">
          <v:rect id="_x0000_i1031" alt="" style="width:468pt;height:.05pt;mso-width-percent:0;mso-height-percent:0;mso-width-percent:0;mso-height-percent:0" o:hralign="center" o:hrstd="t" o:hr="t"/>
        </w:pict>
      </w:r>
    </w:p>
    <w:p w14:paraId="15411A7B" w14:textId="77777777" w:rsidR="002B6897" w:rsidRDefault="00000000">
      <w:pPr>
        <w:pStyle w:val="Heading2"/>
      </w:pPr>
      <w:bookmarkStart w:id="9" w:name="the-buddhacarita-twenty-eight-cantos"/>
      <w:bookmarkEnd w:id="5"/>
      <w:bookmarkEnd w:id="8"/>
      <w:r>
        <w:t>5. The Buddhacarita: Twenty-Eight Cantos</w:t>
      </w:r>
    </w:p>
    <w:p w14:paraId="7DA19907" w14:textId="77777777" w:rsidR="002B6897" w:rsidRDefault="00000000">
      <w:pPr>
        <w:pStyle w:val="FirstParagraph"/>
      </w:pPr>
      <w:r>
        <w:t xml:space="preserve">Aśvaghoṣa’s </w:t>
      </w:r>
      <w:r>
        <w:rPr>
          <w:i/>
          <w:iCs/>
        </w:rPr>
        <w:t>Buddhacarita</w:t>
      </w:r>
      <w:r>
        <w:t xml:space="preserve"> (2nd century CE), the first systematic biography of the Buddha in Sanskrit </w:t>
      </w:r>
      <w:r>
        <w:rPr>
          <w:i/>
          <w:iCs/>
        </w:rPr>
        <w:t>mahākāvya</w:t>
      </w:r>
      <w:r>
        <w:t xml:space="preserve"> style, comprises exactly </w:t>
      </w:r>
      <w:r>
        <w:rPr>
          <w:b/>
          <w:bCs/>
        </w:rPr>
        <w:t>twenty-eight cantos</w:t>
      </w:r>
      <w:r>
        <w:t>. While the original Sanskrit preserves only the first fourteen, the complete text survives in Chinese and Tibetan translations.</w:t>
      </w:r>
    </w:p>
    <w:p w14:paraId="3B789229" w14:textId="77777777" w:rsidR="002B6897" w:rsidRDefault="00000000">
      <w:pPr>
        <w:pStyle w:val="BodyText"/>
      </w:pPr>
      <w:r>
        <w:t xml:space="preserve">The choice of twenty-eight cantos aligns the Buddha’s biography with the same numerological template found in the </w:t>
      </w:r>
      <w:r>
        <w:rPr>
          <w:i/>
          <w:iCs/>
        </w:rPr>
        <w:t>Buddhavaṃsa</w:t>
      </w:r>
      <w:r>
        <w:t xml:space="preserve"> and </w:t>
      </w:r>
      <w:r>
        <w:rPr>
          <w:i/>
          <w:iCs/>
        </w:rPr>
        <w:t>Lotus Sūtra</w:t>
      </w:r>
      <w:r>
        <w:t>. The Buddha’s life becomes a complete and perfect cycle, mirroring the astronomical progression of the lunar mansions.</w:t>
      </w:r>
    </w:p>
    <w:p w14:paraId="1B8C0909" w14:textId="77777777" w:rsidR="002B6897" w:rsidRDefault="00000000">
      <w:pPr>
        <w:pStyle w:val="BodyText"/>
      </w:pPr>
      <w:r>
        <w:t>The twenty-eighth canto, “The Division of the Relics,” marks the final stage of the Buddha’s physical presence, concluding the narrative with the dispersion of his essence across the world—a textual parallel to the moon completing its cycle through all twenty-eight mansions.</w:t>
      </w:r>
    </w:p>
    <w:p w14:paraId="66436573" w14:textId="77777777" w:rsidR="002B6897" w:rsidRDefault="00AC73BE">
      <w:r>
        <w:rPr>
          <w:noProof/>
        </w:rPr>
        <w:pict w14:anchorId="59C91D62">
          <v:rect id="_x0000_i1030" alt="" style="width:468pt;height:.05pt;mso-width-percent:0;mso-height-percent:0;mso-width-percent:0;mso-height-percent:0" o:hralign="center" o:hrstd="t" o:hr="t"/>
        </w:pict>
      </w:r>
    </w:p>
    <w:p w14:paraId="4297DC0C" w14:textId="77777777" w:rsidR="002B6897" w:rsidRDefault="00000000">
      <w:pPr>
        <w:pStyle w:val="Heading2"/>
      </w:pPr>
      <w:bookmarkStart w:id="10" w:name="twenty-eight-rūpas-in-the-abhidhamma"/>
      <w:bookmarkEnd w:id="9"/>
      <w:r>
        <w:lastRenderedPageBreak/>
        <w:t>6. Twenty-Eight Rūpas in the Abhidhamma</w:t>
      </w:r>
    </w:p>
    <w:p w14:paraId="56E18815" w14:textId="77777777" w:rsidR="002B6897" w:rsidRDefault="00000000">
      <w:pPr>
        <w:pStyle w:val="FirstParagraph"/>
      </w:pPr>
      <w:r>
        <w:t xml:space="preserve">Beyond hagiography and poetry, the number twenty-eight serves as the definitive count for material reality in Theravāda Abhidhamma. The </w:t>
      </w:r>
      <w:r>
        <w:rPr>
          <w:i/>
          <w:iCs/>
        </w:rPr>
        <w:t>Dhammasaṅgaṇī</w:t>
      </w:r>
      <w:r>
        <w:t xml:space="preserve"> and its commentaries classify all physical phenomena (</w:t>
      </w:r>
      <w:r>
        <w:rPr>
          <w:i/>
          <w:iCs/>
        </w:rPr>
        <w:t>rūpa</w:t>
      </w:r>
      <w:r>
        <w:t>) into precisely twenty-eight types:</w:t>
      </w:r>
    </w:p>
    <w:tbl>
      <w:tblPr>
        <w:tblStyle w:val="Table"/>
        <w:tblW w:w="0" w:type="auto"/>
        <w:tblLook w:val="0020" w:firstRow="1" w:lastRow="0" w:firstColumn="0" w:lastColumn="0" w:noHBand="0" w:noVBand="0"/>
      </w:tblPr>
      <w:tblGrid>
        <w:gridCol w:w="3211"/>
        <w:gridCol w:w="859"/>
        <w:gridCol w:w="4951"/>
      </w:tblGrid>
      <w:tr w:rsidR="002B6897" w14:paraId="795D9C85" w14:textId="77777777" w:rsidTr="002B6897">
        <w:trPr>
          <w:cnfStyle w:val="100000000000" w:firstRow="1" w:lastRow="0" w:firstColumn="0" w:lastColumn="0" w:oddVBand="0" w:evenVBand="0" w:oddHBand="0" w:evenHBand="0" w:firstRowFirstColumn="0" w:firstRowLastColumn="0" w:lastRowFirstColumn="0" w:lastRowLastColumn="0"/>
          <w:tblHeader/>
        </w:trPr>
        <w:tc>
          <w:tcPr>
            <w:tcW w:w="0" w:type="auto"/>
          </w:tcPr>
          <w:p w14:paraId="252E71A9" w14:textId="77777777" w:rsidR="002B6897" w:rsidRDefault="00000000">
            <w:pPr>
              <w:pStyle w:val="Compact"/>
            </w:pPr>
            <w:r>
              <w:t>Category</w:t>
            </w:r>
          </w:p>
        </w:tc>
        <w:tc>
          <w:tcPr>
            <w:tcW w:w="0" w:type="auto"/>
          </w:tcPr>
          <w:p w14:paraId="01CB26AE" w14:textId="77777777" w:rsidR="002B6897" w:rsidRDefault="00000000">
            <w:pPr>
              <w:pStyle w:val="Compact"/>
            </w:pPr>
            <w:r>
              <w:t>Count</w:t>
            </w:r>
          </w:p>
        </w:tc>
        <w:tc>
          <w:tcPr>
            <w:tcW w:w="0" w:type="auto"/>
          </w:tcPr>
          <w:p w14:paraId="6997A338" w14:textId="77777777" w:rsidR="002B6897" w:rsidRDefault="00000000">
            <w:pPr>
              <w:pStyle w:val="Compact"/>
            </w:pPr>
            <w:r>
              <w:t>Examples</w:t>
            </w:r>
          </w:p>
        </w:tc>
      </w:tr>
      <w:tr w:rsidR="002B6897" w14:paraId="0184BE0C" w14:textId="77777777">
        <w:tc>
          <w:tcPr>
            <w:tcW w:w="0" w:type="auto"/>
          </w:tcPr>
          <w:p w14:paraId="174A90DB" w14:textId="77777777" w:rsidR="002B6897" w:rsidRDefault="00000000">
            <w:pPr>
              <w:pStyle w:val="Compact"/>
            </w:pPr>
            <w:r>
              <w:t>Great Elements (</w:t>
            </w:r>
            <w:r>
              <w:rPr>
                <w:i/>
                <w:iCs/>
              </w:rPr>
              <w:t>mahābhūta</w:t>
            </w:r>
            <w:r>
              <w:t>)</w:t>
            </w:r>
          </w:p>
        </w:tc>
        <w:tc>
          <w:tcPr>
            <w:tcW w:w="0" w:type="auto"/>
          </w:tcPr>
          <w:p w14:paraId="22A3E2AC" w14:textId="77777777" w:rsidR="002B6897" w:rsidRDefault="00000000">
            <w:pPr>
              <w:pStyle w:val="Compact"/>
            </w:pPr>
            <w:r>
              <w:t>4</w:t>
            </w:r>
          </w:p>
        </w:tc>
        <w:tc>
          <w:tcPr>
            <w:tcW w:w="0" w:type="auto"/>
          </w:tcPr>
          <w:p w14:paraId="043BB468" w14:textId="77777777" w:rsidR="002B6897" w:rsidRDefault="00000000">
            <w:pPr>
              <w:pStyle w:val="Compact"/>
            </w:pPr>
            <w:r>
              <w:t>Earth, water, fire, wind</w:t>
            </w:r>
          </w:p>
        </w:tc>
      </w:tr>
      <w:tr w:rsidR="002B6897" w14:paraId="070F8E74" w14:textId="77777777">
        <w:tc>
          <w:tcPr>
            <w:tcW w:w="0" w:type="auto"/>
          </w:tcPr>
          <w:p w14:paraId="5C7B71AE" w14:textId="77777777" w:rsidR="002B6897" w:rsidRDefault="00000000">
            <w:pPr>
              <w:pStyle w:val="Compact"/>
            </w:pPr>
            <w:r>
              <w:t>Sensitive Organs (</w:t>
            </w:r>
            <w:r>
              <w:rPr>
                <w:i/>
                <w:iCs/>
              </w:rPr>
              <w:t>pasāda</w:t>
            </w:r>
            <w:r>
              <w:t>)</w:t>
            </w:r>
          </w:p>
        </w:tc>
        <w:tc>
          <w:tcPr>
            <w:tcW w:w="0" w:type="auto"/>
          </w:tcPr>
          <w:p w14:paraId="06C4F735" w14:textId="77777777" w:rsidR="002B6897" w:rsidRDefault="00000000">
            <w:pPr>
              <w:pStyle w:val="Compact"/>
            </w:pPr>
            <w:r>
              <w:t>5</w:t>
            </w:r>
          </w:p>
        </w:tc>
        <w:tc>
          <w:tcPr>
            <w:tcW w:w="0" w:type="auto"/>
          </w:tcPr>
          <w:p w14:paraId="4D4C66C6" w14:textId="77777777" w:rsidR="002B6897" w:rsidRDefault="00000000">
            <w:pPr>
              <w:pStyle w:val="Compact"/>
            </w:pPr>
            <w:r>
              <w:t>Eye, ear, nose, tongue, body</w:t>
            </w:r>
          </w:p>
        </w:tc>
      </w:tr>
      <w:tr w:rsidR="002B6897" w14:paraId="25047A55" w14:textId="77777777">
        <w:tc>
          <w:tcPr>
            <w:tcW w:w="0" w:type="auto"/>
          </w:tcPr>
          <w:p w14:paraId="7AD8A76B" w14:textId="77777777" w:rsidR="002B6897" w:rsidRDefault="00000000">
            <w:pPr>
              <w:pStyle w:val="Compact"/>
            </w:pPr>
            <w:r>
              <w:t>Objective Fields (</w:t>
            </w:r>
            <w:r>
              <w:rPr>
                <w:i/>
                <w:iCs/>
              </w:rPr>
              <w:t>gocara</w:t>
            </w:r>
            <w:r>
              <w:t>)</w:t>
            </w:r>
          </w:p>
        </w:tc>
        <w:tc>
          <w:tcPr>
            <w:tcW w:w="0" w:type="auto"/>
          </w:tcPr>
          <w:p w14:paraId="649BA550" w14:textId="77777777" w:rsidR="002B6897" w:rsidRDefault="00000000">
            <w:pPr>
              <w:pStyle w:val="Compact"/>
            </w:pPr>
            <w:r>
              <w:t>4</w:t>
            </w:r>
          </w:p>
        </w:tc>
        <w:tc>
          <w:tcPr>
            <w:tcW w:w="0" w:type="auto"/>
          </w:tcPr>
          <w:p w14:paraId="4221C80D" w14:textId="77777777" w:rsidR="002B6897" w:rsidRDefault="00000000">
            <w:pPr>
              <w:pStyle w:val="Compact"/>
            </w:pPr>
            <w:r>
              <w:t>Visible form, sound, smell, taste</w:t>
            </w:r>
          </w:p>
        </w:tc>
      </w:tr>
      <w:tr w:rsidR="002B6897" w14:paraId="7C3E2FAB" w14:textId="77777777">
        <w:tc>
          <w:tcPr>
            <w:tcW w:w="0" w:type="auto"/>
          </w:tcPr>
          <w:p w14:paraId="37D5E007" w14:textId="77777777" w:rsidR="002B6897" w:rsidRDefault="00000000">
            <w:pPr>
              <w:pStyle w:val="Compact"/>
            </w:pPr>
            <w:r>
              <w:t>Sexual Qualities</w:t>
            </w:r>
          </w:p>
        </w:tc>
        <w:tc>
          <w:tcPr>
            <w:tcW w:w="0" w:type="auto"/>
          </w:tcPr>
          <w:p w14:paraId="23003B85" w14:textId="77777777" w:rsidR="002B6897" w:rsidRDefault="00000000">
            <w:pPr>
              <w:pStyle w:val="Compact"/>
            </w:pPr>
            <w:r>
              <w:t>2</w:t>
            </w:r>
          </w:p>
        </w:tc>
        <w:tc>
          <w:tcPr>
            <w:tcW w:w="0" w:type="auto"/>
          </w:tcPr>
          <w:p w14:paraId="5AF82206" w14:textId="77777777" w:rsidR="002B6897" w:rsidRDefault="00000000">
            <w:pPr>
              <w:pStyle w:val="Compact"/>
            </w:pPr>
            <w:r>
              <w:t>Femininity, masculinity</w:t>
            </w:r>
          </w:p>
        </w:tc>
      </w:tr>
      <w:tr w:rsidR="002B6897" w14:paraId="307BFB2F" w14:textId="77777777">
        <w:tc>
          <w:tcPr>
            <w:tcW w:w="0" w:type="auto"/>
          </w:tcPr>
          <w:p w14:paraId="78B7BE1C" w14:textId="77777777" w:rsidR="002B6897" w:rsidRDefault="00000000">
            <w:pPr>
              <w:pStyle w:val="Compact"/>
            </w:pPr>
            <w:r>
              <w:t>Heart Base</w:t>
            </w:r>
          </w:p>
        </w:tc>
        <w:tc>
          <w:tcPr>
            <w:tcW w:w="0" w:type="auto"/>
          </w:tcPr>
          <w:p w14:paraId="3C053647" w14:textId="77777777" w:rsidR="002B6897" w:rsidRDefault="00000000">
            <w:pPr>
              <w:pStyle w:val="Compact"/>
            </w:pPr>
            <w:r>
              <w:t>1</w:t>
            </w:r>
          </w:p>
        </w:tc>
        <w:tc>
          <w:tcPr>
            <w:tcW w:w="0" w:type="auto"/>
          </w:tcPr>
          <w:p w14:paraId="2F00103F" w14:textId="77777777" w:rsidR="002B6897" w:rsidRDefault="00000000">
            <w:pPr>
              <w:pStyle w:val="Compact"/>
            </w:pPr>
            <w:r>
              <w:t>Physical seat of mind</w:t>
            </w:r>
          </w:p>
        </w:tc>
      </w:tr>
      <w:tr w:rsidR="002B6897" w14:paraId="6224C833" w14:textId="77777777">
        <w:tc>
          <w:tcPr>
            <w:tcW w:w="0" w:type="auto"/>
          </w:tcPr>
          <w:p w14:paraId="1F5FF9B1" w14:textId="77777777" w:rsidR="002B6897" w:rsidRDefault="00000000">
            <w:pPr>
              <w:pStyle w:val="Compact"/>
            </w:pPr>
            <w:r>
              <w:t>Life Faculty</w:t>
            </w:r>
          </w:p>
        </w:tc>
        <w:tc>
          <w:tcPr>
            <w:tcW w:w="0" w:type="auto"/>
          </w:tcPr>
          <w:p w14:paraId="3FFAB6F2" w14:textId="77777777" w:rsidR="002B6897" w:rsidRDefault="00000000">
            <w:pPr>
              <w:pStyle w:val="Compact"/>
            </w:pPr>
            <w:r>
              <w:t>1</w:t>
            </w:r>
          </w:p>
        </w:tc>
        <w:tc>
          <w:tcPr>
            <w:tcW w:w="0" w:type="auto"/>
          </w:tcPr>
          <w:p w14:paraId="10492BDF" w14:textId="77777777" w:rsidR="002B6897" w:rsidRDefault="00000000">
            <w:pPr>
              <w:pStyle w:val="Compact"/>
            </w:pPr>
            <w:r>
              <w:t>Vitality</w:t>
            </w:r>
          </w:p>
        </w:tc>
      </w:tr>
      <w:tr w:rsidR="002B6897" w14:paraId="62889A97" w14:textId="77777777">
        <w:tc>
          <w:tcPr>
            <w:tcW w:w="0" w:type="auto"/>
          </w:tcPr>
          <w:p w14:paraId="38214397" w14:textId="77777777" w:rsidR="002B6897" w:rsidRDefault="00000000">
            <w:pPr>
              <w:pStyle w:val="Compact"/>
            </w:pPr>
            <w:r>
              <w:t>Nutrition</w:t>
            </w:r>
          </w:p>
        </w:tc>
        <w:tc>
          <w:tcPr>
            <w:tcW w:w="0" w:type="auto"/>
          </w:tcPr>
          <w:p w14:paraId="6F2AC361" w14:textId="77777777" w:rsidR="002B6897" w:rsidRDefault="00000000">
            <w:pPr>
              <w:pStyle w:val="Compact"/>
            </w:pPr>
            <w:r>
              <w:t>1</w:t>
            </w:r>
          </w:p>
        </w:tc>
        <w:tc>
          <w:tcPr>
            <w:tcW w:w="0" w:type="auto"/>
          </w:tcPr>
          <w:p w14:paraId="56966409" w14:textId="77777777" w:rsidR="002B6897" w:rsidRDefault="00000000">
            <w:pPr>
              <w:pStyle w:val="Compact"/>
            </w:pPr>
            <w:r>
              <w:t>Nutritive essence</w:t>
            </w:r>
          </w:p>
        </w:tc>
      </w:tr>
      <w:tr w:rsidR="002B6897" w14:paraId="4D019C7F" w14:textId="77777777">
        <w:tc>
          <w:tcPr>
            <w:tcW w:w="0" w:type="auto"/>
          </w:tcPr>
          <w:p w14:paraId="2D9F6D38" w14:textId="77777777" w:rsidR="002B6897" w:rsidRDefault="00000000">
            <w:pPr>
              <w:pStyle w:val="Compact"/>
            </w:pPr>
            <w:r>
              <w:t>Space Element</w:t>
            </w:r>
          </w:p>
        </w:tc>
        <w:tc>
          <w:tcPr>
            <w:tcW w:w="0" w:type="auto"/>
          </w:tcPr>
          <w:p w14:paraId="582DD96E" w14:textId="77777777" w:rsidR="002B6897" w:rsidRDefault="00000000">
            <w:pPr>
              <w:pStyle w:val="Compact"/>
            </w:pPr>
            <w:r>
              <w:t>1</w:t>
            </w:r>
          </w:p>
        </w:tc>
        <w:tc>
          <w:tcPr>
            <w:tcW w:w="0" w:type="auto"/>
          </w:tcPr>
          <w:p w14:paraId="71FB33DD" w14:textId="77777777" w:rsidR="002B6897" w:rsidRDefault="00000000">
            <w:pPr>
              <w:pStyle w:val="Compact"/>
            </w:pPr>
            <w:r>
              <w:t>Delimiting boundaries</w:t>
            </w:r>
          </w:p>
        </w:tc>
      </w:tr>
      <w:tr w:rsidR="002B6897" w14:paraId="364910AC" w14:textId="77777777">
        <w:tc>
          <w:tcPr>
            <w:tcW w:w="0" w:type="auto"/>
          </w:tcPr>
          <w:p w14:paraId="51DD8DAD" w14:textId="77777777" w:rsidR="002B6897" w:rsidRDefault="00000000">
            <w:pPr>
              <w:pStyle w:val="Compact"/>
            </w:pPr>
            <w:r>
              <w:t>Communication</w:t>
            </w:r>
          </w:p>
        </w:tc>
        <w:tc>
          <w:tcPr>
            <w:tcW w:w="0" w:type="auto"/>
          </w:tcPr>
          <w:p w14:paraId="3B910203" w14:textId="77777777" w:rsidR="002B6897" w:rsidRDefault="00000000">
            <w:pPr>
              <w:pStyle w:val="Compact"/>
            </w:pPr>
            <w:r>
              <w:t>2</w:t>
            </w:r>
          </w:p>
        </w:tc>
        <w:tc>
          <w:tcPr>
            <w:tcW w:w="0" w:type="auto"/>
          </w:tcPr>
          <w:p w14:paraId="4506F09A" w14:textId="77777777" w:rsidR="002B6897" w:rsidRDefault="00000000">
            <w:pPr>
              <w:pStyle w:val="Compact"/>
            </w:pPr>
            <w:r>
              <w:t>Bodily and vocal intimation</w:t>
            </w:r>
          </w:p>
        </w:tc>
      </w:tr>
      <w:tr w:rsidR="002B6897" w14:paraId="4AAE4539" w14:textId="77777777">
        <w:tc>
          <w:tcPr>
            <w:tcW w:w="0" w:type="auto"/>
          </w:tcPr>
          <w:p w14:paraId="2C117053" w14:textId="77777777" w:rsidR="002B6897" w:rsidRDefault="00000000">
            <w:pPr>
              <w:pStyle w:val="Compact"/>
            </w:pPr>
            <w:r>
              <w:t>Mutability</w:t>
            </w:r>
          </w:p>
        </w:tc>
        <w:tc>
          <w:tcPr>
            <w:tcW w:w="0" w:type="auto"/>
          </w:tcPr>
          <w:p w14:paraId="340EF1D3" w14:textId="77777777" w:rsidR="002B6897" w:rsidRDefault="00000000">
            <w:pPr>
              <w:pStyle w:val="Compact"/>
            </w:pPr>
            <w:r>
              <w:t>3</w:t>
            </w:r>
          </w:p>
        </w:tc>
        <w:tc>
          <w:tcPr>
            <w:tcW w:w="0" w:type="auto"/>
          </w:tcPr>
          <w:p w14:paraId="3C60050B" w14:textId="77777777" w:rsidR="002B6897" w:rsidRDefault="00000000">
            <w:pPr>
              <w:pStyle w:val="Compact"/>
            </w:pPr>
            <w:r>
              <w:t>Lightness, softness, adaptability</w:t>
            </w:r>
          </w:p>
        </w:tc>
      </w:tr>
      <w:tr w:rsidR="002B6897" w14:paraId="4D880137" w14:textId="77777777">
        <w:tc>
          <w:tcPr>
            <w:tcW w:w="0" w:type="auto"/>
          </w:tcPr>
          <w:p w14:paraId="1AA26776" w14:textId="77777777" w:rsidR="002B6897" w:rsidRDefault="00000000">
            <w:pPr>
              <w:pStyle w:val="Compact"/>
            </w:pPr>
            <w:r>
              <w:t>Characteristics</w:t>
            </w:r>
          </w:p>
        </w:tc>
        <w:tc>
          <w:tcPr>
            <w:tcW w:w="0" w:type="auto"/>
          </w:tcPr>
          <w:p w14:paraId="6367E5D8" w14:textId="77777777" w:rsidR="002B6897" w:rsidRDefault="00000000">
            <w:pPr>
              <w:pStyle w:val="Compact"/>
            </w:pPr>
            <w:r>
              <w:t>4</w:t>
            </w:r>
          </w:p>
        </w:tc>
        <w:tc>
          <w:tcPr>
            <w:tcW w:w="0" w:type="auto"/>
          </w:tcPr>
          <w:p w14:paraId="23E9705A" w14:textId="77777777" w:rsidR="002B6897" w:rsidRDefault="00000000">
            <w:pPr>
              <w:pStyle w:val="Compact"/>
            </w:pPr>
            <w:r>
              <w:t>Production, continuity, decay, impermanence</w:t>
            </w:r>
          </w:p>
        </w:tc>
      </w:tr>
      <w:tr w:rsidR="002B6897" w14:paraId="3E070859" w14:textId="77777777">
        <w:tc>
          <w:tcPr>
            <w:tcW w:w="0" w:type="auto"/>
          </w:tcPr>
          <w:p w14:paraId="75A3709F" w14:textId="77777777" w:rsidR="002B6897" w:rsidRDefault="00000000">
            <w:pPr>
              <w:pStyle w:val="Compact"/>
            </w:pPr>
            <w:r>
              <w:rPr>
                <w:b/>
                <w:bCs/>
              </w:rPr>
              <w:t>Total</w:t>
            </w:r>
          </w:p>
        </w:tc>
        <w:tc>
          <w:tcPr>
            <w:tcW w:w="0" w:type="auto"/>
          </w:tcPr>
          <w:p w14:paraId="1A247535" w14:textId="77777777" w:rsidR="002B6897" w:rsidRDefault="00000000">
            <w:pPr>
              <w:pStyle w:val="Compact"/>
            </w:pPr>
            <w:r>
              <w:rPr>
                <w:b/>
                <w:bCs/>
              </w:rPr>
              <w:t>28</w:t>
            </w:r>
          </w:p>
        </w:tc>
        <w:tc>
          <w:tcPr>
            <w:tcW w:w="0" w:type="auto"/>
          </w:tcPr>
          <w:p w14:paraId="03B125E2" w14:textId="77777777" w:rsidR="002B6897" w:rsidRDefault="002B6897">
            <w:pPr>
              <w:pStyle w:val="Compact"/>
            </w:pPr>
          </w:p>
        </w:tc>
      </w:tr>
    </w:tbl>
    <w:p w14:paraId="2ED80F7B" w14:textId="77777777" w:rsidR="002B6897" w:rsidRDefault="00000000">
      <w:pPr>
        <w:pStyle w:val="BodyText"/>
      </w:pPr>
      <w:r>
        <w:t>The exhaustive taxonomy of twenty-eight material qualities provides meditators with a complete map of the physical world. By deconstructing the sense of “self” into these twenty-eight constituent parts, practitioners realize the nature of impermanence and unsatisfactoriness.</w:t>
      </w:r>
    </w:p>
    <w:p w14:paraId="31D6B0A9" w14:textId="77777777" w:rsidR="002B6897" w:rsidRDefault="00000000">
      <w:pPr>
        <w:pStyle w:val="BodyText"/>
      </w:pPr>
      <w:r>
        <w:t>The settlement on precisely twenty-eight types—no more, no less—suggests a desire for numerical totality matching the cosmic structure. This “twenty-eight-fold world” is what sentient beings must navigate and ultimately transcend.</w:t>
      </w:r>
    </w:p>
    <w:p w14:paraId="1444081B" w14:textId="77777777" w:rsidR="002B6897" w:rsidRDefault="00AC73BE">
      <w:r>
        <w:rPr>
          <w:noProof/>
        </w:rPr>
        <w:pict w14:anchorId="00B815A2">
          <v:rect id="_x0000_i1029" alt="" style="width:468pt;height:.05pt;mso-width-percent:0;mso-height-percent:0;mso-width-percent:0;mso-height-percent:0" o:hralign="center" o:hrstd="t" o:hr="t"/>
        </w:pict>
      </w:r>
    </w:p>
    <w:p w14:paraId="10F7BCF1" w14:textId="77777777" w:rsidR="002B6897" w:rsidRDefault="00000000">
      <w:pPr>
        <w:pStyle w:val="Heading2"/>
      </w:pPr>
      <w:bookmarkStart w:id="11" w:name="X0450f6ebeecdfba610c8fdada1f9496e1429b5a"/>
      <w:bookmarkEnd w:id="10"/>
      <w:r>
        <w:t>7. The Dhammapada: Evidence for a Twenty-Eight-Chapter Original</w:t>
      </w:r>
    </w:p>
    <w:p w14:paraId="0B1827D2" w14:textId="77777777" w:rsidR="002B6897" w:rsidRDefault="00000000">
      <w:pPr>
        <w:pStyle w:val="Heading3"/>
      </w:pPr>
      <w:bookmarkStart w:id="12" w:name="current-state-of-recensions"/>
      <w:r>
        <w:t>7.1 Current State of Recensions</w:t>
      </w:r>
    </w:p>
    <w:p w14:paraId="38BC5498" w14:textId="77777777" w:rsidR="002B6897" w:rsidRDefault="00000000">
      <w:pPr>
        <w:pStyle w:val="FirstParagraph"/>
      </w:pPr>
      <w:r>
        <w:t xml:space="preserve">The </w:t>
      </w:r>
      <w:r>
        <w:rPr>
          <w:i/>
          <w:iCs/>
        </w:rPr>
        <w:t>Dhammapada</w:t>
      </w:r>
      <w:r>
        <w:t xml:space="preserve"> exists in multiple recensions with varying chapter counts:</w:t>
      </w:r>
    </w:p>
    <w:tbl>
      <w:tblPr>
        <w:tblStyle w:val="Table"/>
        <w:tblW w:w="0" w:type="auto"/>
        <w:tblLook w:val="0020" w:firstRow="1" w:lastRow="0" w:firstColumn="0" w:lastColumn="0" w:noHBand="0" w:noVBand="0"/>
      </w:tblPr>
      <w:tblGrid>
        <w:gridCol w:w="2588"/>
        <w:gridCol w:w="2775"/>
        <w:gridCol w:w="1178"/>
        <w:gridCol w:w="923"/>
      </w:tblGrid>
      <w:tr w:rsidR="002B6897" w14:paraId="3D12B209" w14:textId="77777777" w:rsidTr="002B6897">
        <w:trPr>
          <w:cnfStyle w:val="100000000000" w:firstRow="1" w:lastRow="0" w:firstColumn="0" w:lastColumn="0" w:oddVBand="0" w:evenVBand="0" w:oddHBand="0" w:evenHBand="0" w:firstRowFirstColumn="0" w:firstRowLastColumn="0" w:lastRowFirstColumn="0" w:lastRowLastColumn="0"/>
          <w:tblHeader/>
        </w:trPr>
        <w:tc>
          <w:tcPr>
            <w:tcW w:w="0" w:type="auto"/>
          </w:tcPr>
          <w:p w14:paraId="2C0612A1" w14:textId="77777777" w:rsidR="002B6897" w:rsidRDefault="00000000">
            <w:pPr>
              <w:pStyle w:val="Compact"/>
            </w:pPr>
            <w:r>
              <w:t>Recension</w:t>
            </w:r>
          </w:p>
        </w:tc>
        <w:tc>
          <w:tcPr>
            <w:tcW w:w="0" w:type="auto"/>
          </w:tcPr>
          <w:p w14:paraId="000561F0" w14:textId="77777777" w:rsidR="002B6897" w:rsidRDefault="00000000">
            <w:pPr>
              <w:pStyle w:val="Compact"/>
            </w:pPr>
            <w:r>
              <w:t>Language</w:t>
            </w:r>
          </w:p>
        </w:tc>
        <w:tc>
          <w:tcPr>
            <w:tcW w:w="0" w:type="auto"/>
          </w:tcPr>
          <w:p w14:paraId="698AF78C" w14:textId="77777777" w:rsidR="002B6897" w:rsidRDefault="00000000">
            <w:pPr>
              <w:pStyle w:val="Compact"/>
            </w:pPr>
            <w:r>
              <w:t>Chapters</w:t>
            </w:r>
          </w:p>
        </w:tc>
        <w:tc>
          <w:tcPr>
            <w:tcW w:w="0" w:type="auto"/>
          </w:tcPr>
          <w:p w14:paraId="13479B04" w14:textId="77777777" w:rsidR="002B6897" w:rsidRDefault="00000000">
            <w:pPr>
              <w:pStyle w:val="Compact"/>
            </w:pPr>
            <w:r>
              <w:t>Verses</w:t>
            </w:r>
          </w:p>
        </w:tc>
      </w:tr>
      <w:tr w:rsidR="002B6897" w14:paraId="69B431BD" w14:textId="77777777">
        <w:tc>
          <w:tcPr>
            <w:tcW w:w="0" w:type="auto"/>
          </w:tcPr>
          <w:p w14:paraId="1144C4FC" w14:textId="77777777" w:rsidR="002B6897" w:rsidRDefault="00000000">
            <w:pPr>
              <w:pStyle w:val="Compact"/>
            </w:pPr>
            <w:r>
              <w:t>Pāli Dhammapada</w:t>
            </w:r>
          </w:p>
        </w:tc>
        <w:tc>
          <w:tcPr>
            <w:tcW w:w="0" w:type="auto"/>
          </w:tcPr>
          <w:p w14:paraId="1645B67D" w14:textId="77777777" w:rsidR="002B6897" w:rsidRDefault="00000000">
            <w:pPr>
              <w:pStyle w:val="Compact"/>
            </w:pPr>
            <w:r>
              <w:t>Pāli</w:t>
            </w:r>
          </w:p>
        </w:tc>
        <w:tc>
          <w:tcPr>
            <w:tcW w:w="0" w:type="auto"/>
          </w:tcPr>
          <w:p w14:paraId="0B76A311" w14:textId="77777777" w:rsidR="002B6897" w:rsidRDefault="00000000">
            <w:pPr>
              <w:pStyle w:val="Compact"/>
            </w:pPr>
            <w:r>
              <w:t>26</w:t>
            </w:r>
          </w:p>
        </w:tc>
        <w:tc>
          <w:tcPr>
            <w:tcW w:w="0" w:type="auto"/>
          </w:tcPr>
          <w:p w14:paraId="615A8BDB" w14:textId="77777777" w:rsidR="002B6897" w:rsidRDefault="00000000">
            <w:pPr>
              <w:pStyle w:val="Compact"/>
            </w:pPr>
            <w:r>
              <w:t>423</w:t>
            </w:r>
          </w:p>
        </w:tc>
      </w:tr>
      <w:tr w:rsidR="002B6897" w14:paraId="76C3BA43" w14:textId="77777777">
        <w:tc>
          <w:tcPr>
            <w:tcW w:w="0" w:type="auto"/>
          </w:tcPr>
          <w:p w14:paraId="40E5100E" w14:textId="77777777" w:rsidR="002B6897" w:rsidRDefault="00000000">
            <w:pPr>
              <w:pStyle w:val="Compact"/>
            </w:pPr>
            <w:r>
              <w:t>Patna Dharmapada</w:t>
            </w:r>
          </w:p>
        </w:tc>
        <w:tc>
          <w:tcPr>
            <w:tcW w:w="0" w:type="auto"/>
          </w:tcPr>
          <w:p w14:paraId="2EA5AE3F" w14:textId="77777777" w:rsidR="002B6897" w:rsidRDefault="00000000">
            <w:pPr>
              <w:pStyle w:val="Compact"/>
            </w:pPr>
            <w:r>
              <w:t>Buddhist Hybrid Sanskrit</w:t>
            </w:r>
          </w:p>
        </w:tc>
        <w:tc>
          <w:tcPr>
            <w:tcW w:w="0" w:type="auto"/>
          </w:tcPr>
          <w:p w14:paraId="251A7377" w14:textId="77777777" w:rsidR="002B6897" w:rsidRDefault="00000000">
            <w:pPr>
              <w:pStyle w:val="Compact"/>
            </w:pPr>
            <w:r>
              <w:t>22</w:t>
            </w:r>
          </w:p>
        </w:tc>
        <w:tc>
          <w:tcPr>
            <w:tcW w:w="0" w:type="auto"/>
          </w:tcPr>
          <w:p w14:paraId="02CC6823" w14:textId="77777777" w:rsidR="002B6897" w:rsidRDefault="00000000">
            <w:pPr>
              <w:pStyle w:val="Compact"/>
            </w:pPr>
            <w:r>
              <w:t>414</w:t>
            </w:r>
          </w:p>
        </w:tc>
      </w:tr>
      <w:tr w:rsidR="002B6897" w14:paraId="4883C186" w14:textId="77777777">
        <w:tc>
          <w:tcPr>
            <w:tcW w:w="0" w:type="auto"/>
          </w:tcPr>
          <w:p w14:paraId="4DCD9B58" w14:textId="77777777" w:rsidR="002B6897" w:rsidRDefault="00000000">
            <w:pPr>
              <w:pStyle w:val="Compact"/>
            </w:pPr>
            <w:r>
              <w:t>Gāndhārī Dharmapada</w:t>
            </w:r>
          </w:p>
        </w:tc>
        <w:tc>
          <w:tcPr>
            <w:tcW w:w="0" w:type="auto"/>
          </w:tcPr>
          <w:p w14:paraId="63CD6B3D" w14:textId="77777777" w:rsidR="002B6897" w:rsidRDefault="00000000">
            <w:pPr>
              <w:pStyle w:val="Compact"/>
            </w:pPr>
            <w:r>
              <w:t>Gāndhārī Prakrit</w:t>
            </w:r>
          </w:p>
        </w:tc>
        <w:tc>
          <w:tcPr>
            <w:tcW w:w="0" w:type="auto"/>
          </w:tcPr>
          <w:p w14:paraId="5A97EF0E" w14:textId="77777777" w:rsidR="002B6897" w:rsidRDefault="00000000">
            <w:pPr>
              <w:pStyle w:val="Compact"/>
            </w:pPr>
            <w:r>
              <w:t>~26</w:t>
            </w:r>
          </w:p>
        </w:tc>
        <w:tc>
          <w:tcPr>
            <w:tcW w:w="0" w:type="auto"/>
          </w:tcPr>
          <w:p w14:paraId="11BADB82" w14:textId="77777777" w:rsidR="002B6897" w:rsidRDefault="00000000">
            <w:pPr>
              <w:pStyle w:val="Compact"/>
            </w:pPr>
            <w:r>
              <w:t>~540</w:t>
            </w:r>
          </w:p>
        </w:tc>
      </w:tr>
      <w:tr w:rsidR="002B6897" w14:paraId="51135506" w14:textId="77777777">
        <w:tc>
          <w:tcPr>
            <w:tcW w:w="0" w:type="auto"/>
          </w:tcPr>
          <w:p w14:paraId="01A40D79" w14:textId="77777777" w:rsidR="002B6897" w:rsidRDefault="00000000">
            <w:pPr>
              <w:pStyle w:val="Compact"/>
            </w:pPr>
            <w:r>
              <w:t>Chinese Fa-chu ching</w:t>
            </w:r>
          </w:p>
        </w:tc>
        <w:tc>
          <w:tcPr>
            <w:tcW w:w="0" w:type="auto"/>
          </w:tcPr>
          <w:p w14:paraId="0DA57BA1" w14:textId="77777777" w:rsidR="002B6897" w:rsidRDefault="00000000">
            <w:pPr>
              <w:pStyle w:val="Compact"/>
            </w:pPr>
            <w:r>
              <w:t>Chinese</w:t>
            </w:r>
          </w:p>
        </w:tc>
        <w:tc>
          <w:tcPr>
            <w:tcW w:w="0" w:type="auto"/>
          </w:tcPr>
          <w:p w14:paraId="20848A76" w14:textId="77777777" w:rsidR="002B6897" w:rsidRDefault="00000000">
            <w:pPr>
              <w:pStyle w:val="Compact"/>
            </w:pPr>
            <w:r>
              <w:t>39</w:t>
            </w:r>
          </w:p>
        </w:tc>
        <w:tc>
          <w:tcPr>
            <w:tcW w:w="0" w:type="auto"/>
          </w:tcPr>
          <w:p w14:paraId="17C08DF9" w14:textId="77777777" w:rsidR="002B6897" w:rsidRDefault="00000000">
            <w:pPr>
              <w:pStyle w:val="Compact"/>
            </w:pPr>
            <w:r>
              <w:t>752</w:t>
            </w:r>
          </w:p>
        </w:tc>
      </w:tr>
      <w:tr w:rsidR="002B6897" w14:paraId="42B67AAE" w14:textId="77777777">
        <w:tc>
          <w:tcPr>
            <w:tcW w:w="0" w:type="auto"/>
          </w:tcPr>
          <w:p w14:paraId="6DB194EA" w14:textId="77777777" w:rsidR="002B6897" w:rsidRDefault="00000000">
            <w:pPr>
              <w:pStyle w:val="Compact"/>
            </w:pPr>
            <w:r>
              <w:lastRenderedPageBreak/>
              <w:t>Udānavarga</w:t>
            </w:r>
          </w:p>
        </w:tc>
        <w:tc>
          <w:tcPr>
            <w:tcW w:w="0" w:type="auto"/>
          </w:tcPr>
          <w:p w14:paraId="50AAD369" w14:textId="77777777" w:rsidR="002B6897" w:rsidRDefault="00000000">
            <w:pPr>
              <w:pStyle w:val="Compact"/>
            </w:pPr>
            <w:r>
              <w:t>Sanskrit</w:t>
            </w:r>
          </w:p>
        </w:tc>
        <w:tc>
          <w:tcPr>
            <w:tcW w:w="0" w:type="auto"/>
          </w:tcPr>
          <w:p w14:paraId="447D4D78" w14:textId="77777777" w:rsidR="002B6897" w:rsidRDefault="00000000">
            <w:pPr>
              <w:pStyle w:val="Compact"/>
            </w:pPr>
            <w:r>
              <w:t>33</w:t>
            </w:r>
          </w:p>
        </w:tc>
        <w:tc>
          <w:tcPr>
            <w:tcW w:w="0" w:type="auto"/>
          </w:tcPr>
          <w:p w14:paraId="1611C4C5" w14:textId="77777777" w:rsidR="002B6897" w:rsidRDefault="00000000">
            <w:pPr>
              <w:pStyle w:val="Compact"/>
            </w:pPr>
            <w:r>
              <w:t>~1000</w:t>
            </w:r>
          </w:p>
        </w:tc>
      </w:tr>
    </w:tbl>
    <w:p w14:paraId="6D8D3921" w14:textId="77777777" w:rsidR="002B6897" w:rsidRDefault="00000000">
      <w:pPr>
        <w:pStyle w:val="Heading3"/>
      </w:pPr>
      <w:bookmarkStart w:id="13" w:name="john-broughs-analysis-of-gāndhārī"/>
      <w:bookmarkEnd w:id="12"/>
      <w:r>
        <w:t>7.2 John Brough’s Analysis of Gāndhārī</w:t>
      </w:r>
    </w:p>
    <w:p w14:paraId="5DD5919C" w14:textId="77777777" w:rsidR="002B6897" w:rsidRDefault="00000000">
      <w:pPr>
        <w:pStyle w:val="FirstParagraph"/>
      </w:pPr>
      <w:r>
        <w:t xml:space="preserve">Brough’s edition of the </w:t>
      </w:r>
      <w:r>
        <w:rPr>
          <w:i/>
          <w:iCs/>
        </w:rPr>
        <w:t>Gāndhārī Dharmapada</w:t>
      </w:r>
      <w:r>
        <w:t xml:space="preserve"> (1962) establishes that the Gāndhārī text originally contained approximately </w:t>
      </w:r>
      <w:r>
        <w:rPr>
          <w:b/>
          <w:bCs/>
        </w:rPr>
        <w:t>twenty-six chapters with four lost</w:t>
      </w:r>
      <w:r>
        <w:t xml:space="preserve"> (XXIII–XXVI). His analysis revealed several key organizing principles:</w:t>
      </w:r>
    </w:p>
    <w:p w14:paraId="653FF9CB" w14:textId="77777777" w:rsidR="002B6897" w:rsidRDefault="00000000">
      <w:pPr>
        <w:pStyle w:val="BodyText"/>
      </w:pPr>
      <w:r>
        <w:rPr>
          <w:b/>
          <w:bCs/>
        </w:rPr>
        <w:t>The Principle of Decreasing Length</w:t>
      </w:r>
      <w:r>
        <w:t>: Brough observed that chapters in the Gāndhārī recension appear sequenced in decreasing order of length—the scribe front-loaded the most extensive thematic collections.</w:t>
      </w:r>
    </w:p>
    <w:p w14:paraId="625EBEB4" w14:textId="77777777" w:rsidR="002B6897" w:rsidRDefault="00000000">
      <w:pPr>
        <w:pStyle w:val="BodyText"/>
      </w:pPr>
      <w:r>
        <w:rPr>
          <w:b/>
          <w:bCs/>
        </w:rPr>
        <w:t>The Chapter 14 Gap</w:t>
      </w:r>
      <w:r>
        <w:t>: A significant empty space of approximately 1.5 inches occurs at the end of Chapter 14 (</w:t>
      </w:r>
      <w:r>
        <w:rPr>
          <w:i/>
          <w:iCs/>
        </w:rPr>
        <w:t>Paṇḍita</w:t>
      </w:r>
      <w:r>
        <w:t>), marking the physical transition point where the scribe flipped the birch-bark strip to continue on the verso side. This mechanical midpoint confirms intentional structural planning.</w:t>
      </w:r>
    </w:p>
    <w:p w14:paraId="67C6F70D" w14:textId="77777777" w:rsidR="002B6897" w:rsidRDefault="00000000">
      <w:pPr>
        <w:pStyle w:val="BodyText"/>
      </w:pPr>
      <w:r>
        <w:rPr>
          <w:b/>
          <w:bCs/>
        </w:rPr>
        <w:t>The “Core 26” Hypothesis</w:t>
      </w:r>
      <w:r>
        <w:t xml:space="preserve">: Brough identifies that the Pāli Dhammapada, the Udānavarga, and the Gāndhārī Dharmapada share a “common ancestor” structure typically centered on </w:t>
      </w:r>
      <w:r>
        <w:rPr>
          <w:b/>
          <w:bCs/>
        </w:rPr>
        <w:t>26 chapters</w:t>
      </w:r>
      <w:r>
        <w:t xml:space="preserve">. The Chinese </w:t>
      </w:r>
      <w:r>
        <w:rPr>
          <w:i/>
          <w:iCs/>
        </w:rPr>
        <w:t>Fa-chu ching</w:t>
      </w:r>
      <w:r>
        <w:t xml:space="preserve"> (224 CE) supports this: it contains a core of 26 chapters to which 13 additional chapters were appended, yielding 39 total.</w:t>
      </w:r>
    </w:p>
    <w:p w14:paraId="57008AA2" w14:textId="77777777" w:rsidR="002B6897" w:rsidRDefault="00000000">
      <w:pPr>
        <w:pStyle w:val="BodyText"/>
      </w:pPr>
      <w:r>
        <w:t>Crucially, Brough notes that Gāndhārī is a “distinct recension,” not a primitive ancestor. The first three Gāndhārī chapters (</w:t>
      </w:r>
      <w:r>
        <w:rPr>
          <w:i/>
          <w:iCs/>
        </w:rPr>
        <w:t>Brāhmaṇa</w:t>
      </w:r>
      <w:r>
        <w:t xml:space="preserve">, </w:t>
      </w:r>
      <w:r>
        <w:rPr>
          <w:i/>
          <w:iCs/>
        </w:rPr>
        <w:t>Bhikṣu</w:t>
      </w:r>
      <w:r>
        <w:t xml:space="preserve">, </w:t>
      </w:r>
      <w:r>
        <w:rPr>
          <w:i/>
          <w:iCs/>
        </w:rPr>
        <w:t>Tṛṣṇā</w:t>
      </w:r>
      <w:r>
        <w:t xml:space="preserve">) appear in </w:t>
      </w:r>
      <w:r>
        <w:rPr>
          <w:b/>
          <w:bCs/>
        </w:rPr>
        <w:t>reversed order</w:t>
      </w:r>
      <w:r>
        <w:t xml:space="preserve"> as the final three chapters of the Pāli version—strong evidence of structural fluidity across traditions.</w:t>
      </w:r>
    </w:p>
    <w:p w14:paraId="4AD34BAF" w14:textId="77777777" w:rsidR="002B6897" w:rsidRDefault="00000000">
      <w:pPr>
        <w:pStyle w:val="Heading3"/>
      </w:pPr>
      <w:bookmarkStart w:id="14" w:name="the-twenty-eight-chapter-hypothesis"/>
      <w:bookmarkEnd w:id="13"/>
      <w:r>
        <w:t>7.3 The Twenty-Eight-Chapter Hypothesis</w:t>
      </w:r>
    </w:p>
    <w:p w14:paraId="270B4275" w14:textId="77777777" w:rsidR="002B6897" w:rsidRDefault="00000000">
      <w:pPr>
        <w:pStyle w:val="FirstParagraph"/>
      </w:pPr>
      <w:r>
        <w:t xml:space="preserve">The Pāli </w:t>
      </w:r>
      <w:r>
        <w:rPr>
          <w:i/>
          <w:iCs/>
        </w:rPr>
        <w:t>Dhammapada</w:t>
      </w:r>
      <w:r>
        <w:t>’s twenty-sixth chapter (</w:t>
      </w:r>
      <w:r>
        <w:rPr>
          <w:i/>
          <w:iCs/>
        </w:rPr>
        <w:t>Brāhmaṇavagga</w:t>
      </w:r>
      <w:r>
        <w:t xml:space="preserve">) is anomalously long: </w:t>
      </w:r>
      <w:r>
        <w:rPr>
          <w:b/>
          <w:bCs/>
        </w:rPr>
        <w:t>41 verses</w:t>
      </w:r>
      <w:r>
        <w:t>, nearly double the average chapter length. Analysis reveals clear thematic seams:</w:t>
      </w:r>
    </w:p>
    <w:tbl>
      <w:tblPr>
        <w:tblStyle w:val="Table"/>
        <w:tblW w:w="0" w:type="auto"/>
        <w:tblLook w:val="0020" w:firstRow="1" w:lastRow="0" w:firstColumn="0" w:lastColumn="0" w:noHBand="0" w:noVBand="0"/>
      </w:tblPr>
      <w:tblGrid>
        <w:gridCol w:w="1096"/>
        <w:gridCol w:w="3609"/>
        <w:gridCol w:w="2900"/>
      </w:tblGrid>
      <w:tr w:rsidR="002B6897" w14:paraId="7D280BA3" w14:textId="77777777" w:rsidTr="002B6897">
        <w:trPr>
          <w:cnfStyle w:val="100000000000" w:firstRow="1" w:lastRow="0" w:firstColumn="0" w:lastColumn="0" w:oddVBand="0" w:evenVBand="0" w:oddHBand="0" w:evenHBand="0" w:firstRowFirstColumn="0" w:firstRowLastColumn="0" w:lastRowFirstColumn="0" w:lastRowLastColumn="0"/>
          <w:tblHeader/>
        </w:trPr>
        <w:tc>
          <w:tcPr>
            <w:tcW w:w="0" w:type="auto"/>
          </w:tcPr>
          <w:p w14:paraId="760139B9" w14:textId="77777777" w:rsidR="002B6897" w:rsidRDefault="00000000">
            <w:pPr>
              <w:pStyle w:val="Compact"/>
            </w:pPr>
            <w:r>
              <w:t>Verses</w:t>
            </w:r>
          </w:p>
        </w:tc>
        <w:tc>
          <w:tcPr>
            <w:tcW w:w="0" w:type="auto"/>
          </w:tcPr>
          <w:p w14:paraId="28106964" w14:textId="77777777" w:rsidR="002B6897" w:rsidRDefault="00000000">
            <w:pPr>
              <w:pStyle w:val="Compact"/>
            </w:pPr>
            <w:r>
              <w:t>Theme</w:t>
            </w:r>
          </w:p>
        </w:tc>
        <w:tc>
          <w:tcPr>
            <w:tcW w:w="0" w:type="auto"/>
          </w:tcPr>
          <w:p w14:paraId="18A7EC7C" w14:textId="77777777" w:rsidR="002B6897" w:rsidRDefault="00000000">
            <w:pPr>
              <w:pStyle w:val="Compact"/>
            </w:pPr>
            <w:r>
              <w:t>Potential Original Chapter</w:t>
            </w:r>
          </w:p>
        </w:tc>
      </w:tr>
      <w:tr w:rsidR="002B6897" w14:paraId="2F88400B" w14:textId="77777777">
        <w:tc>
          <w:tcPr>
            <w:tcW w:w="0" w:type="auto"/>
          </w:tcPr>
          <w:p w14:paraId="04536E12" w14:textId="77777777" w:rsidR="002B6897" w:rsidRDefault="00000000">
            <w:pPr>
              <w:pStyle w:val="Compact"/>
            </w:pPr>
            <w:r>
              <w:t>383–386</w:t>
            </w:r>
          </w:p>
        </w:tc>
        <w:tc>
          <w:tcPr>
            <w:tcW w:w="0" w:type="auto"/>
          </w:tcPr>
          <w:p w14:paraId="0FB253C7" w14:textId="77777777" w:rsidR="002B6897" w:rsidRDefault="00000000">
            <w:pPr>
              <w:pStyle w:val="Compact"/>
            </w:pPr>
            <w:r>
              <w:t>Liberation/The Unconditioned</w:t>
            </w:r>
          </w:p>
        </w:tc>
        <w:tc>
          <w:tcPr>
            <w:tcW w:w="0" w:type="auto"/>
          </w:tcPr>
          <w:p w14:paraId="4744A55A" w14:textId="77777777" w:rsidR="002B6897" w:rsidRDefault="00000000">
            <w:pPr>
              <w:pStyle w:val="Compact"/>
            </w:pPr>
            <w:r>
              <w:t xml:space="preserve">→ </w:t>
            </w:r>
            <w:r>
              <w:rPr>
                <w:i/>
                <w:iCs/>
              </w:rPr>
              <w:t>Nibbānavagga</w:t>
            </w:r>
            <w:r>
              <w:t>?</w:t>
            </w:r>
          </w:p>
        </w:tc>
      </w:tr>
      <w:tr w:rsidR="002B6897" w14:paraId="3A2AB3A6" w14:textId="77777777">
        <w:tc>
          <w:tcPr>
            <w:tcW w:w="0" w:type="auto"/>
          </w:tcPr>
          <w:p w14:paraId="190DB160" w14:textId="77777777" w:rsidR="002B6897" w:rsidRDefault="00000000">
            <w:pPr>
              <w:pStyle w:val="Compact"/>
            </w:pPr>
            <w:r>
              <w:t>387–409</w:t>
            </w:r>
          </w:p>
        </w:tc>
        <w:tc>
          <w:tcPr>
            <w:tcW w:w="0" w:type="auto"/>
          </w:tcPr>
          <w:p w14:paraId="3D5A7F60" w14:textId="77777777" w:rsidR="002B6897" w:rsidRDefault="00000000">
            <w:pPr>
              <w:pStyle w:val="Compact"/>
            </w:pPr>
            <w:r>
              <w:t>True Brahmin qualities</w:t>
            </w:r>
          </w:p>
        </w:tc>
        <w:tc>
          <w:tcPr>
            <w:tcW w:w="0" w:type="auto"/>
          </w:tcPr>
          <w:p w14:paraId="53D55500" w14:textId="77777777" w:rsidR="002B6897" w:rsidRDefault="00000000">
            <w:pPr>
              <w:pStyle w:val="Compact"/>
            </w:pPr>
            <w:r>
              <w:rPr>
                <w:i/>
                <w:iCs/>
              </w:rPr>
              <w:t>Brāhmaṇavagga</w:t>
            </w:r>
            <w:r>
              <w:t xml:space="preserve"> (core)</w:t>
            </w:r>
          </w:p>
        </w:tc>
      </w:tr>
      <w:tr w:rsidR="002B6897" w14:paraId="407295CD" w14:textId="77777777">
        <w:tc>
          <w:tcPr>
            <w:tcW w:w="0" w:type="auto"/>
          </w:tcPr>
          <w:p w14:paraId="133AA832" w14:textId="77777777" w:rsidR="002B6897" w:rsidRDefault="00000000">
            <w:pPr>
              <w:pStyle w:val="Compact"/>
            </w:pPr>
            <w:r>
              <w:t>410–423</w:t>
            </w:r>
          </w:p>
        </w:tc>
        <w:tc>
          <w:tcPr>
            <w:tcW w:w="0" w:type="auto"/>
          </w:tcPr>
          <w:p w14:paraId="4C53452E" w14:textId="77777777" w:rsidR="002B6897" w:rsidRDefault="00000000">
            <w:pPr>
              <w:pStyle w:val="Compact"/>
            </w:pPr>
            <w:r>
              <w:t>Transcendence/Final Attainment</w:t>
            </w:r>
          </w:p>
        </w:tc>
        <w:tc>
          <w:tcPr>
            <w:tcW w:w="0" w:type="auto"/>
          </w:tcPr>
          <w:p w14:paraId="3191C656" w14:textId="77777777" w:rsidR="002B6897" w:rsidRDefault="00000000">
            <w:pPr>
              <w:pStyle w:val="Compact"/>
            </w:pPr>
            <w:r>
              <w:t xml:space="preserve">→ </w:t>
            </w:r>
            <w:r>
              <w:rPr>
                <w:i/>
                <w:iCs/>
              </w:rPr>
              <w:t>Nibbānavagga</w:t>
            </w:r>
            <w:r>
              <w:t>?</w:t>
            </w:r>
          </w:p>
        </w:tc>
      </w:tr>
    </w:tbl>
    <w:p w14:paraId="06E9BB08" w14:textId="77777777" w:rsidR="002B6897" w:rsidRDefault="00000000">
      <w:pPr>
        <w:pStyle w:val="BodyText"/>
      </w:pPr>
      <w:r>
        <w:rPr>
          <w:b/>
          <w:bCs/>
        </w:rPr>
        <w:t>Critical observation</w:t>
      </w:r>
      <w:r>
        <w:t xml:space="preserve">: The Pāli </w:t>
      </w:r>
      <w:r>
        <w:rPr>
          <w:i/>
          <w:iCs/>
        </w:rPr>
        <w:t>Dhammapada</w:t>
      </w:r>
      <w:r>
        <w:t xml:space="preserve"> has </w:t>
      </w:r>
      <w:r>
        <w:rPr>
          <w:b/>
          <w:bCs/>
        </w:rPr>
        <w:t>no dedicated chapter on Nirvāṇa</w:t>
      </w:r>
      <w:r>
        <w:t xml:space="preserve">—the central soteriological goal. Samsara has a chapter. Nirvana does not. The </w:t>
      </w:r>
      <w:r>
        <w:rPr>
          <w:i/>
          <w:iCs/>
        </w:rPr>
        <w:t>Udānavarga</w:t>
      </w:r>
      <w:r>
        <w:t xml:space="preserve">, by contrast, preserves a distinct </w:t>
      </w:r>
      <w:r>
        <w:rPr>
          <w:i/>
          <w:iCs/>
        </w:rPr>
        <w:t>Nirvāṇavarga</w:t>
      </w:r>
      <w:r>
        <w:t xml:space="preserve">. This suggests that a </w:t>
      </w:r>
      <w:r>
        <w:rPr>
          <w:i/>
          <w:iCs/>
        </w:rPr>
        <w:t>Nibbānavagga</w:t>
      </w:r>
      <w:r>
        <w:t xml:space="preserve"> may have been </w:t>
      </w:r>
      <w:r>
        <w:rPr>
          <w:b/>
          <w:bCs/>
        </w:rPr>
        <w:t>merged into Chapter 26</w:t>
      </w:r>
      <w:r>
        <w:t xml:space="preserve"> during transmission.</w:t>
      </w:r>
    </w:p>
    <w:p w14:paraId="4FB8E86A" w14:textId="77777777" w:rsidR="002B6897" w:rsidRDefault="00000000">
      <w:pPr>
        <w:pStyle w:val="BodyText"/>
      </w:pPr>
      <w:r>
        <w:t xml:space="preserve">If we hypothesize: 1. A dedicated </w:t>
      </w:r>
      <w:r>
        <w:rPr>
          <w:i/>
          <w:iCs/>
        </w:rPr>
        <w:t>Nibbānavagga</w:t>
      </w:r>
      <w:r>
        <w:t xml:space="preserve"> (verses 383–386 + 410–423) 2. A distinct </w:t>
      </w:r>
      <w:r>
        <w:rPr>
          <w:i/>
          <w:iCs/>
        </w:rPr>
        <w:t>Tathāgatavagga</w:t>
      </w:r>
      <w:r>
        <w:t xml:space="preserve"> (expanded from the brief </w:t>
      </w:r>
      <w:r>
        <w:rPr>
          <w:i/>
          <w:iCs/>
        </w:rPr>
        <w:t>Buddhavagga</w:t>
      </w:r>
      <w:r>
        <w:t>, Ch. 14)</w:t>
      </w:r>
    </w:p>
    <w:p w14:paraId="03B9016E" w14:textId="77777777" w:rsidR="002B6897" w:rsidRDefault="00000000">
      <w:pPr>
        <w:pStyle w:val="BodyText"/>
      </w:pPr>
      <w:r>
        <w:lastRenderedPageBreak/>
        <w:t xml:space="preserve">The result is a </w:t>
      </w:r>
      <w:r>
        <w:rPr>
          <w:b/>
          <w:bCs/>
        </w:rPr>
        <w:t>twenty-eight-chapter</w:t>
      </w:r>
      <w:r>
        <w:t xml:space="preserve"> </w:t>
      </w:r>
      <w:r>
        <w:rPr>
          <w:i/>
          <w:iCs/>
        </w:rPr>
        <w:t>Dhammapada</w:t>
      </w:r>
      <w:r>
        <w:t>—aligning with the pan-Buddhist numerological pattern.</w:t>
      </w:r>
    </w:p>
    <w:p w14:paraId="6B78810C" w14:textId="77777777" w:rsidR="002B6897" w:rsidRDefault="00000000">
      <w:pPr>
        <w:pStyle w:val="Heading3"/>
      </w:pPr>
      <w:bookmarkStart w:id="15" w:name="supporting-evidence-the-mahāsaddanīti"/>
      <w:bookmarkEnd w:id="14"/>
      <w:r>
        <w:t>7.4 Supporting Evidence: The Mahāsaddanīti</w:t>
      </w:r>
    </w:p>
    <w:p w14:paraId="08FB8A05" w14:textId="77777777" w:rsidR="002B6897" w:rsidRDefault="00000000">
      <w:pPr>
        <w:pStyle w:val="FirstParagraph"/>
      </w:pPr>
      <w:r>
        <w:t xml:space="preserve">The </w:t>
      </w:r>
      <w:r>
        <w:rPr>
          <w:i/>
          <w:iCs/>
        </w:rPr>
        <w:t>Mahāsaddanīti</w:t>
      </w:r>
      <w:r>
        <w:t xml:space="preserve">, a monumental Pāli grammar attributed to Aggavaṃsa (12th century), consists of exactly </w:t>
      </w:r>
      <w:r>
        <w:rPr>
          <w:b/>
          <w:bCs/>
        </w:rPr>
        <w:t>twenty-eight chapters</w:t>
      </w:r>
      <w:r>
        <w:t>. This suggests that Buddhist redactors and scholars viewed twenty-eight as a “canonical” number for complete, authoritative works.</w:t>
      </w:r>
    </w:p>
    <w:p w14:paraId="34EAA16E" w14:textId="77777777" w:rsidR="002B6897" w:rsidRDefault="00000000">
      <w:pPr>
        <w:pStyle w:val="Heading3"/>
      </w:pPr>
      <w:bookmarkStart w:id="16" w:name="defeat-conditions"/>
      <w:bookmarkEnd w:id="15"/>
      <w:r>
        <w:t>7.5 Defeat Conditions</w:t>
      </w:r>
    </w:p>
    <w:p w14:paraId="283FDAF8" w14:textId="77777777" w:rsidR="002B6897" w:rsidRDefault="00000000">
      <w:pPr>
        <w:pStyle w:val="FirstParagraph"/>
      </w:pPr>
      <w:r>
        <w:t>In the spirit of epistemic rigor, this hypothesis would be decisively weakened by:</w:t>
      </w:r>
    </w:p>
    <w:p w14:paraId="34C0260D" w14:textId="77777777" w:rsidR="002B6897" w:rsidRDefault="00000000">
      <w:pPr>
        <w:pStyle w:val="Compact"/>
        <w:numPr>
          <w:ilvl w:val="0"/>
          <w:numId w:val="2"/>
        </w:numPr>
      </w:pPr>
      <w:r>
        <w:rPr>
          <w:b/>
          <w:bCs/>
        </w:rPr>
        <w:t>Discovery of explicit 26-chapter structures</w:t>
      </w:r>
      <w:r>
        <w:t>: If Gāndhārī or Patna recensions explicitly preserve a 26-chapter format with no evidence of merger or loss</w:t>
      </w:r>
    </w:p>
    <w:p w14:paraId="4A807EEA" w14:textId="77777777" w:rsidR="002B6897" w:rsidRDefault="00000000">
      <w:pPr>
        <w:pStyle w:val="Compact"/>
        <w:numPr>
          <w:ilvl w:val="0"/>
          <w:numId w:val="2"/>
        </w:numPr>
      </w:pPr>
      <w:r>
        <w:rPr>
          <w:b/>
          <w:bCs/>
        </w:rPr>
        <w:t>Alternative explanation for Chapter 26’s length</w:t>
      </w:r>
      <w:r>
        <w:t xml:space="preserve">: Scholarly consensus that the </w:t>
      </w:r>
      <w:r>
        <w:rPr>
          <w:i/>
          <w:iCs/>
        </w:rPr>
        <w:t>Brāhmaṇavagga</w:t>
      </w:r>
      <w:r>
        <w:t>’s 41 verses result from accretion rather than merger</w:t>
      </w:r>
    </w:p>
    <w:p w14:paraId="3E91A7B5" w14:textId="77777777" w:rsidR="002B6897" w:rsidRDefault="00000000">
      <w:pPr>
        <w:pStyle w:val="Compact"/>
        <w:numPr>
          <w:ilvl w:val="0"/>
          <w:numId w:val="2"/>
        </w:numPr>
      </w:pPr>
      <w:r>
        <w:rPr>
          <w:b/>
          <w:bCs/>
        </w:rPr>
        <w:t>Late composition of Nibbāna verses</w:t>
      </w:r>
      <w:r>
        <w:t>: Philological evidence that verses 383–386 and 410–423 were composed significantly later than the chapter’s core material</w:t>
      </w:r>
    </w:p>
    <w:p w14:paraId="74DB9647" w14:textId="77777777" w:rsidR="002B6897" w:rsidRDefault="00000000">
      <w:pPr>
        <w:pStyle w:val="Compact"/>
        <w:numPr>
          <w:ilvl w:val="0"/>
          <w:numId w:val="2"/>
        </w:numPr>
      </w:pPr>
      <w:r>
        <w:rPr>
          <w:b/>
          <w:bCs/>
        </w:rPr>
        <w:t>Counter-examples</w:t>
      </w:r>
      <w:r>
        <w:t>: Discovery of major Buddhist texts deliberately avoiding the 28-structure would weaken the “intentional architecture” thesis</w:t>
      </w:r>
    </w:p>
    <w:p w14:paraId="27212598" w14:textId="77777777" w:rsidR="002B6897" w:rsidRDefault="00000000">
      <w:pPr>
        <w:pStyle w:val="Heading3"/>
      </w:pPr>
      <w:bookmarkStart w:id="17" w:name="alternative-explanations"/>
      <w:bookmarkEnd w:id="16"/>
      <w:r>
        <w:t>7.6 Alternative Explanations</w:t>
      </w:r>
    </w:p>
    <w:p w14:paraId="3DABFF2D" w14:textId="77777777" w:rsidR="002B6897" w:rsidRDefault="00000000">
      <w:pPr>
        <w:pStyle w:val="FirstParagraph"/>
      </w:pPr>
      <w:r>
        <w:t>This study acknowledges competing interpretations:</w:t>
      </w:r>
    </w:p>
    <w:p w14:paraId="0A693BB7" w14:textId="77777777" w:rsidR="002B6897" w:rsidRDefault="00000000">
      <w:pPr>
        <w:pStyle w:val="Compact"/>
        <w:numPr>
          <w:ilvl w:val="0"/>
          <w:numId w:val="3"/>
        </w:numPr>
      </w:pPr>
      <w:r>
        <w:rPr>
          <w:b/>
          <w:bCs/>
        </w:rPr>
        <w:t>Coincidence hypothesis</w:t>
      </w:r>
      <w:r>
        <w:t>: Twenty-eight may simply be a culturally significant “round number” without deep intentionality behind each instantiation</w:t>
      </w:r>
    </w:p>
    <w:p w14:paraId="02249135" w14:textId="77777777" w:rsidR="002B6897" w:rsidRDefault="00000000">
      <w:pPr>
        <w:pStyle w:val="Compact"/>
        <w:numPr>
          <w:ilvl w:val="0"/>
          <w:numId w:val="3"/>
        </w:numPr>
      </w:pPr>
      <w:r>
        <w:rPr>
          <w:b/>
          <w:bCs/>
        </w:rPr>
        <w:t>Pattern-matching bias</w:t>
      </w:r>
      <w:r>
        <w:t>: Humans are prone to finding patterns; the convergence of 28s may reflect selective attention rather than deliberate design</w:t>
      </w:r>
    </w:p>
    <w:p w14:paraId="4FE35ACC" w14:textId="77777777" w:rsidR="002B6897" w:rsidRDefault="00000000">
      <w:pPr>
        <w:pStyle w:val="Compact"/>
        <w:numPr>
          <w:ilvl w:val="0"/>
          <w:numId w:val="3"/>
        </w:numPr>
      </w:pPr>
      <w:r>
        <w:rPr>
          <w:b/>
          <w:bCs/>
        </w:rPr>
        <w:t>Practical transmission</w:t>
      </w:r>
      <w:r>
        <w:t>: Editorial decisions may have been driven by physical manuscript constraints (as Brough notes for Gāndhārī) rather than cosmological intent</w:t>
      </w:r>
    </w:p>
    <w:p w14:paraId="601F14F5" w14:textId="77777777" w:rsidR="002B6897" w:rsidRDefault="00AC73BE">
      <w:r>
        <w:rPr>
          <w:noProof/>
        </w:rPr>
        <w:pict w14:anchorId="115534C1">
          <v:rect id="_x0000_i1028" alt="" style="width:468pt;height:.05pt;mso-width-percent:0;mso-height-percent:0;mso-width-percent:0;mso-height-percent:0" o:hralign="center" o:hrstd="t" o:hr="t"/>
        </w:pict>
      </w:r>
    </w:p>
    <w:p w14:paraId="2373EB79" w14:textId="77777777" w:rsidR="002B6897" w:rsidRDefault="00000000">
      <w:pPr>
        <w:pStyle w:val="Heading2"/>
      </w:pPr>
      <w:bookmarkStart w:id="18" w:name="X22adc91de8587f704e56581c1792516104a758c"/>
      <w:bookmarkEnd w:id="11"/>
      <w:bookmarkEnd w:id="17"/>
      <w:r>
        <w:t>8. Synthesis: The Sacred Architecture of Twenty-Eight</w:t>
      </w:r>
    </w:p>
    <w:p w14:paraId="311D4D16" w14:textId="77777777" w:rsidR="002B6897" w:rsidRDefault="00000000">
      <w:pPr>
        <w:pStyle w:val="FirstParagraph"/>
      </w:pPr>
      <w:r>
        <w:t>The recurrence of twenty-eight across disparate genres and schools suggests a unified numerological theology serving three functions:</w:t>
      </w:r>
    </w:p>
    <w:p w14:paraId="4C230D73" w14:textId="77777777" w:rsidR="002B6897" w:rsidRDefault="00000000">
      <w:pPr>
        <w:pStyle w:val="Heading3"/>
      </w:pPr>
      <w:bookmarkStart w:id="19" w:name="cosmological-anchor"/>
      <w:r>
        <w:t>8.1 Cosmological Anchor</w:t>
      </w:r>
    </w:p>
    <w:p w14:paraId="77C7C10D" w14:textId="77777777" w:rsidR="002B6897" w:rsidRDefault="00000000">
      <w:pPr>
        <w:pStyle w:val="FirstParagraph"/>
      </w:pPr>
      <w:r>
        <w:t>By linking chapters or Buddhas to the twenty-eight lunar mansions, the tradition asserts that the Dhamma is a natural law of the universe. The revelation of truth follows a predictable and perfect pattern, removing “editorial accident” and replacing it with cosmic destiny.</w:t>
      </w:r>
    </w:p>
    <w:p w14:paraId="45460C7A" w14:textId="77777777" w:rsidR="002B6897" w:rsidRDefault="00000000">
      <w:pPr>
        <w:pStyle w:val="Heading3"/>
      </w:pPr>
      <w:bookmarkStart w:id="20" w:name="taxonomy-of-totality"/>
      <w:bookmarkEnd w:id="19"/>
      <w:r>
        <w:lastRenderedPageBreak/>
        <w:t>8.2 Taxonomy of Totality</w:t>
      </w:r>
    </w:p>
    <w:p w14:paraId="2B598ECC" w14:textId="77777777" w:rsidR="002B6897" w:rsidRDefault="00000000">
      <w:pPr>
        <w:pStyle w:val="FirstParagraph"/>
      </w:pPr>
      <w:r>
        <w:t xml:space="preserve">In the Abhidhamma, twenty-eight material qualities represent the entirety of the physical world. In the </w:t>
      </w:r>
      <w:r>
        <w:rPr>
          <w:i/>
          <w:iCs/>
        </w:rPr>
        <w:t>Buddhavaṃsa</w:t>
      </w:r>
      <w:r>
        <w:t>, twenty-eight Buddhas represent the entirety of spiritual history. This creates closure: to understand the twenty-eight is to have exhaustive knowledge of suffering’s constituents and the lineage of those who overcame it.</w:t>
      </w:r>
    </w:p>
    <w:p w14:paraId="25C7DFDC" w14:textId="77777777" w:rsidR="002B6897" w:rsidRDefault="00000000">
      <w:pPr>
        <w:pStyle w:val="Heading3"/>
      </w:pPr>
      <w:bookmarkStart w:id="21" w:name="liturgical-and-mnemonic-scaffolding"/>
      <w:bookmarkEnd w:id="20"/>
      <w:r>
        <w:t>8.3 Liturgical and Mnemonic Scaffolding</w:t>
      </w:r>
    </w:p>
    <w:p w14:paraId="7FE3B3CA" w14:textId="77777777" w:rsidR="002B6897" w:rsidRDefault="00000000">
      <w:pPr>
        <w:pStyle w:val="FirstParagraph"/>
      </w:pPr>
      <w:r>
        <w:t xml:space="preserve">The organization of the </w:t>
      </w:r>
      <w:r>
        <w:rPr>
          <w:i/>
          <w:iCs/>
        </w:rPr>
        <w:t>Lotus Sūtra</w:t>
      </w:r>
      <w:r>
        <w:t xml:space="preserve"> and </w:t>
      </w:r>
      <w:r>
        <w:rPr>
          <w:i/>
          <w:iCs/>
        </w:rPr>
        <w:t>Buddhacarita</w:t>
      </w:r>
      <w:r>
        <w:t xml:space="preserve"> into twenty-eight units facilitates systematic study, chanting, and visual representation. For meditators, twenty-eight provides a clear framework for deconstructing reality.</w:t>
      </w:r>
    </w:p>
    <w:p w14:paraId="5D75476A" w14:textId="77777777" w:rsidR="002B6897" w:rsidRDefault="00AC73BE">
      <w:r>
        <w:rPr>
          <w:noProof/>
        </w:rPr>
        <w:pict w14:anchorId="2BCEF42B">
          <v:rect id="_x0000_i1027" alt="" style="width:468pt;height:.05pt;mso-width-percent:0;mso-height-percent:0;mso-width-percent:0;mso-height-percent:0" o:hralign="center" o:hrstd="t" o:hr="t"/>
        </w:pict>
      </w:r>
    </w:p>
    <w:p w14:paraId="77419116" w14:textId="77777777" w:rsidR="002B6897" w:rsidRDefault="00000000">
      <w:pPr>
        <w:pStyle w:val="Heading2"/>
      </w:pPr>
      <w:bookmarkStart w:id="22" w:name="conclusion"/>
      <w:bookmarkEnd w:id="18"/>
      <w:bookmarkEnd w:id="21"/>
      <w:r>
        <w:t>9. Conclusion</w:t>
      </w:r>
    </w:p>
    <w:p w14:paraId="2967E231" w14:textId="77777777" w:rsidR="002B6897" w:rsidRDefault="00000000">
      <w:pPr>
        <w:pStyle w:val="FirstParagraph"/>
      </w:pPr>
      <w:r>
        <w:t>The prevalence of the number twenty-eight in Buddhist canonical literature is a deliberate expression of symbolic totality. Whether mapping the stars, the lineage of enlightenment, the constituents of matter, or the structure of supreme scriptures, twenty-eight signals a complete, perfect, and authoritative cycle.</w:t>
      </w:r>
    </w:p>
    <w:p w14:paraId="115D4C8B" w14:textId="77777777" w:rsidR="002B6897" w:rsidRDefault="00000000">
      <w:pPr>
        <w:pStyle w:val="BodyText"/>
      </w:pPr>
      <w:r>
        <w:t xml:space="preserve">This study proposes that the “Sacred Architecture of Twenty-Eight” extends beyond established texts to include a hypothesized original </w:t>
      </w:r>
      <w:r>
        <w:rPr>
          <w:i/>
          <w:iCs/>
        </w:rPr>
        <w:t>Dhammapada</w:t>
      </w:r>
      <w:r>
        <w:t xml:space="preserve">. The evidence—the anomalous length of Chapter 26, the absence of a dedicated Nirvāṇa chapter, and comparative analysis with the </w:t>
      </w:r>
      <w:r>
        <w:rPr>
          <w:i/>
          <w:iCs/>
        </w:rPr>
        <w:t>Udānavarga</w:t>
      </w:r>
      <w:r>
        <w:t>—supports the possibility that the twenty-six-chapter Pāli text represents a contracted form.</w:t>
      </w:r>
    </w:p>
    <w:p w14:paraId="434E22B3" w14:textId="77777777" w:rsidR="002B6897" w:rsidRDefault="00000000">
      <w:pPr>
        <w:pStyle w:val="BodyText"/>
      </w:pPr>
      <w:r>
        <w:t xml:space="preserve">If confirmed, this hypothesis would revise understanding of </w:t>
      </w:r>
      <w:r>
        <w:rPr>
          <w:i/>
          <w:iCs/>
        </w:rPr>
        <w:t>Dhammapada</w:t>
      </w:r>
      <w:r>
        <w:t xml:space="preserve"> editorial history and establish a numerological connection between Theravāda and Mahāyāna canonical traditions. The textual body and the cosmic body would be shown to be one and the same, providing practitioners with a structured path to liberation inscribed in the very architecture of the scriptures they study.</w:t>
      </w:r>
    </w:p>
    <w:p w14:paraId="2795FB54" w14:textId="77777777" w:rsidR="002B6897" w:rsidRDefault="00000000">
      <w:pPr>
        <w:pStyle w:val="BodyText"/>
      </w:pPr>
      <w:r>
        <w:t>The moon completes its cycle in twenty-eight stations. So, perhaps, does the Dharma.</w:t>
      </w:r>
    </w:p>
    <w:p w14:paraId="3FD7983D" w14:textId="77777777" w:rsidR="002B6897" w:rsidRDefault="00AC73BE">
      <w:r>
        <w:rPr>
          <w:noProof/>
        </w:rPr>
        <w:pict w14:anchorId="3EDB9DE5">
          <v:rect id="_x0000_i1026" alt="" style="width:468pt;height:.05pt;mso-width-percent:0;mso-height-percent:0;mso-width-percent:0;mso-height-percent:0" o:hralign="center" o:hrstd="t" o:hr="t"/>
        </w:pict>
      </w:r>
    </w:p>
    <w:p w14:paraId="4CF82404" w14:textId="77777777" w:rsidR="002B6897" w:rsidRDefault="00000000">
      <w:pPr>
        <w:pStyle w:val="Heading2"/>
      </w:pPr>
      <w:bookmarkStart w:id="23" w:name="Xc47a11120a68aa4e85c5880b8ae0f89affd2d7a"/>
      <w:bookmarkEnd w:id="22"/>
      <w:r>
        <w:t>Acknowledgments and AI Assistance Disclosure</w:t>
      </w:r>
    </w:p>
    <w:p w14:paraId="668A8EB5" w14:textId="77777777" w:rsidR="002B6897" w:rsidRDefault="00000000">
      <w:pPr>
        <w:pStyle w:val="FirstParagraph"/>
      </w:pPr>
      <w:r>
        <w:t>This article synthesizes existing scholarship using AI-assisted research tools (NotebookLM for literature synthesis, Claude for drafting assistance). All synthesis, argumentation, and editorial decisions were curated and validated by the author.</w:t>
      </w:r>
    </w:p>
    <w:p w14:paraId="6C91AD1D" w14:textId="77777777" w:rsidR="002B6897" w:rsidRDefault="00AC73BE">
      <w:r>
        <w:rPr>
          <w:noProof/>
        </w:rPr>
        <w:pict w14:anchorId="0A084D2D">
          <v:rect id="_x0000_i1025" alt="" style="width:468pt;height:.05pt;mso-width-percent:0;mso-height-percent:0;mso-width-percent:0;mso-height-percent:0" o:hralign="center" o:hrstd="t" o:hr="t"/>
        </w:pict>
      </w:r>
    </w:p>
    <w:p w14:paraId="2BAB18F0" w14:textId="77777777" w:rsidR="002B6897" w:rsidRDefault="00000000">
      <w:pPr>
        <w:pStyle w:val="Heading2"/>
      </w:pPr>
      <w:bookmarkStart w:id="24" w:name="references"/>
      <w:bookmarkEnd w:id="23"/>
      <w:r>
        <w:lastRenderedPageBreak/>
        <w:t>References</w:t>
      </w:r>
    </w:p>
    <w:p w14:paraId="5DE87C23" w14:textId="77777777" w:rsidR="002B6897" w:rsidRDefault="00000000">
      <w:pPr>
        <w:pStyle w:val="Compact"/>
        <w:numPr>
          <w:ilvl w:val="0"/>
          <w:numId w:val="4"/>
        </w:numPr>
      </w:pPr>
      <w:r>
        <w:t xml:space="preserve">Brough, John. </w:t>
      </w:r>
      <w:r>
        <w:rPr>
          <w:i/>
          <w:iCs/>
        </w:rPr>
        <w:t>The Gāndhārī Dharmapada</w:t>
      </w:r>
      <w:r>
        <w:t>. London Oriental Series, vol. 7. Oxford University Press, 1962.</w:t>
      </w:r>
    </w:p>
    <w:p w14:paraId="3AEF3976" w14:textId="77777777" w:rsidR="002B6897" w:rsidRDefault="00000000">
      <w:pPr>
        <w:pStyle w:val="Compact"/>
        <w:numPr>
          <w:ilvl w:val="0"/>
          <w:numId w:val="4"/>
        </w:numPr>
      </w:pPr>
      <w:r>
        <w:t xml:space="preserve">Norman, K.R. </w:t>
      </w:r>
      <w:r>
        <w:rPr>
          <w:i/>
          <w:iCs/>
        </w:rPr>
        <w:t>Pāli Literature</w:t>
      </w:r>
      <w:r>
        <w:t>. Wiesbaden: Otto Harrassowitz, 1983.</w:t>
      </w:r>
    </w:p>
    <w:p w14:paraId="067C292E" w14:textId="77777777" w:rsidR="002B6897" w:rsidRDefault="00000000">
      <w:pPr>
        <w:pStyle w:val="Compact"/>
        <w:numPr>
          <w:ilvl w:val="0"/>
          <w:numId w:val="4"/>
        </w:numPr>
      </w:pPr>
      <w:r>
        <w:t xml:space="preserve">Salomon, Richard. </w:t>
      </w:r>
      <w:r>
        <w:rPr>
          <w:i/>
          <w:iCs/>
        </w:rPr>
        <w:t>Ancient Buddhist Scrolls from Gandhāra</w:t>
      </w:r>
      <w:r>
        <w:t>. University of Washington Press, 1999.</w:t>
      </w:r>
    </w:p>
    <w:p w14:paraId="64447DDC" w14:textId="77777777" w:rsidR="002B6897" w:rsidRDefault="00000000">
      <w:pPr>
        <w:pStyle w:val="Compact"/>
        <w:numPr>
          <w:ilvl w:val="0"/>
          <w:numId w:val="4"/>
        </w:numPr>
      </w:pPr>
      <w:r>
        <w:t xml:space="preserve">Reeves, Gene, trans. </w:t>
      </w:r>
      <w:r>
        <w:rPr>
          <w:i/>
          <w:iCs/>
        </w:rPr>
        <w:t>The Lotus Sutra</w:t>
      </w:r>
      <w:r>
        <w:t>. Wisdom Publications, 2008.</w:t>
      </w:r>
    </w:p>
    <w:p w14:paraId="329D4AF2" w14:textId="77777777" w:rsidR="002B6897" w:rsidRDefault="00000000">
      <w:pPr>
        <w:pStyle w:val="Compact"/>
        <w:numPr>
          <w:ilvl w:val="0"/>
          <w:numId w:val="4"/>
        </w:numPr>
      </w:pPr>
      <w:r>
        <w:t xml:space="preserve">Cowell, E.B., trans. </w:t>
      </w:r>
      <w:r>
        <w:rPr>
          <w:i/>
          <w:iCs/>
        </w:rPr>
        <w:t>The Buddha-Carita of Aśvaghoṣa</w:t>
      </w:r>
      <w:r>
        <w:t>. Sacred Books of the East, vol. 49. Oxford, 1894.</w:t>
      </w:r>
    </w:p>
    <w:p w14:paraId="57510094" w14:textId="77777777" w:rsidR="002B6897" w:rsidRDefault="00000000">
      <w:pPr>
        <w:pStyle w:val="Compact"/>
        <w:numPr>
          <w:ilvl w:val="0"/>
          <w:numId w:val="4"/>
        </w:numPr>
      </w:pPr>
      <w:r>
        <w:t xml:space="preserve">Gethin, Rupert. “The Mātikās: Memorization, Mindfulness, and the List.” In </w:t>
      </w:r>
      <w:r>
        <w:rPr>
          <w:i/>
          <w:iCs/>
        </w:rPr>
        <w:t>In the Mirror of Memory</w:t>
      </w:r>
      <w:r>
        <w:t>, edited by Janet Gyatso, 149–72. SUNY Press, 1992.</w:t>
      </w:r>
    </w:p>
    <w:p w14:paraId="598FFF5C" w14:textId="77777777" w:rsidR="002B6897" w:rsidRDefault="00000000">
      <w:pPr>
        <w:pStyle w:val="Compact"/>
        <w:numPr>
          <w:ilvl w:val="0"/>
          <w:numId w:val="4"/>
        </w:numPr>
      </w:pPr>
      <w:r>
        <w:t xml:space="preserve">Warder, A.K. </w:t>
      </w:r>
      <w:r>
        <w:rPr>
          <w:i/>
          <w:iCs/>
        </w:rPr>
        <w:t>Indian Buddhism</w:t>
      </w:r>
      <w:r>
        <w:t>. 3rd ed. Motilal Banarsidass, 2000.</w:t>
      </w:r>
    </w:p>
    <w:p w14:paraId="04446536" w14:textId="77777777" w:rsidR="002B6897" w:rsidRDefault="00000000">
      <w:pPr>
        <w:pStyle w:val="Compact"/>
        <w:numPr>
          <w:ilvl w:val="0"/>
          <w:numId w:val="4"/>
        </w:numPr>
      </w:pPr>
      <w:r>
        <w:t>Nattier, Jan. </w:t>
      </w:r>
      <w:r>
        <w:rPr>
          <w:i/>
          <w:iCs/>
        </w:rPr>
        <w:t>A Few Good Men: The Bodhisattva Path According to The Inquiry of Ugra</w:t>
      </w:r>
      <w:r>
        <w:t>. University of Hawai’i Press, 2003.</w:t>
      </w:r>
    </w:p>
    <w:p w14:paraId="4EEB7499" w14:textId="77777777" w:rsidR="002B6897" w:rsidRDefault="00000000">
      <w:pPr>
        <w:pStyle w:val="Compact"/>
        <w:numPr>
          <w:ilvl w:val="0"/>
          <w:numId w:val="4"/>
        </w:numPr>
      </w:pPr>
      <w:r>
        <w:t xml:space="preserve">Strong, John S. </w:t>
      </w:r>
      <w:r>
        <w:rPr>
          <w:i/>
          <w:iCs/>
        </w:rPr>
        <w:t>Relics of the Buddha</w:t>
      </w:r>
      <w:r>
        <w:t>. Princeton University Press, 2004.</w:t>
      </w:r>
    </w:p>
    <w:p w14:paraId="39E50353" w14:textId="77777777" w:rsidR="002B6897" w:rsidRDefault="00000000">
      <w:pPr>
        <w:pStyle w:val="Compact"/>
        <w:numPr>
          <w:ilvl w:val="0"/>
          <w:numId w:val="4"/>
        </w:numPr>
      </w:pPr>
      <w:r>
        <w:t>Buswell, Robert E., Jr., and Donald S. Lopez Jr., eds. </w:t>
      </w:r>
      <w:r>
        <w:rPr>
          <w:i/>
          <w:iCs/>
        </w:rPr>
        <w:t>The Princeton Dictionary of Buddhism</w:t>
      </w:r>
      <w:r>
        <w:t>. Princeton University Press, 2014.</w:t>
      </w:r>
      <w:bookmarkEnd w:id="0"/>
      <w:bookmarkEnd w:id="24"/>
    </w:p>
    <w:sectPr w:rsidR="002B689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CF814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156A16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AB884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79656495">
    <w:abstractNumId w:val="0"/>
  </w:num>
  <w:num w:numId="2" w16cid:durableId="5374266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895788">
    <w:abstractNumId w:val="1"/>
  </w:num>
  <w:num w:numId="4" w16cid:durableId="13190733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B6897"/>
    <w:rsid w:val="0028559F"/>
    <w:rsid w:val="002B6897"/>
    <w:rsid w:val="007248FC"/>
    <w:rsid w:val="00AC73BE"/>
    <w:rsid w:val="00D87C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1A8B8"/>
  <w15:docId w15:val="{ABD1099E-CBE5-2D41-8104-0E6DFFC0F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2580</Words>
  <Characters>16229</Characters>
  <Application>Microsoft Office Word</Application>
  <DocSecurity>0</DocSecurity>
  <Lines>360</Lines>
  <Paragraphs>216</Paragraphs>
  <ScaleCrop>false</ScaleCrop>
  <Company/>
  <LinksUpToDate>false</LinksUpToDate>
  <CharactersWithSpaces>18593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 William Altig</cp:lastModifiedBy>
  <cp:revision>4</cp:revision>
  <dcterms:created xsi:type="dcterms:W3CDTF">2025-12-23T18:20:00Z</dcterms:created>
  <dcterms:modified xsi:type="dcterms:W3CDTF">2025-12-23T22:44:00Z</dcterms:modified>
</cp:coreProperties>
</file>