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42A2" w:rsidRDefault="00E142A2" w:rsidP="00E142A2">
      <w:pPr>
        <w:rPr>
          <w:rFonts w:eastAsia="Segoe UI" w:cs="Arial"/>
          <w:b/>
        </w:rPr>
      </w:pPr>
      <w:bookmarkStart w:id="0" w:name="_GoBack"/>
      <w:bookmarkEnd w:id="0"/>
      <w:r>
        <w:rPr>
          <w:rFonts w:eastAsia="Segoe UI" w:cs="Arial"/>
          <w:b/>
        </w:rPr>
        <w:t>EXODUS</w:t>
      </w:r>
    </w:p>
    <w:p w:rsidR="00E142A2" w:rsidRDefault="00E142A2" w:rsidP="00E142A2">
      <w:pPr>
        <w:rPr>
          <w:rFonts w:ascii="MEPS Bookman WTS" w:eastAsia="Segoe UI" w:hAnsi="MEPS Bookman WTS" w:cs="Segoe UI"/>
        </w:rPr>
      </w:pPr>
      <w:r>
        <w:rPr>
          <w:rFonts w:eastAsia="Segoe UI" w:cs="Arial"/>
          <w:b/>
        </w:rPr>
        <w:t xml:space="preserve">1:1 </w:t>
      </w:r>
      <w:r>
        <w:rPr>
          <w:rFonts w:eastAsia="Segoe UI" w:cs="Arial"/>
        </w:rPr>
        <w:t>Now these are the names of Israel’s sons who came into Egypt with Jacob, each man who came with his household:</w:t>
      </w:r>
      <w:r w:rsidR="00070375">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Reu′ben, Sim′e·on, Le′vi, and Judah;</w:t>
      </w:r>
      <w:r w:rsidR="00070375">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 xml:space="preserve">Is′sa·char, Zeb′u·lun, and Benjamin; </w:t>
      </w:r>
      <w:r>
        <w:rPr>
          <w:rFonts w:eastAsia="Segoe UI" w:cs="Arial"/>
          <w:b/>
        </w:rPr>
        <w:t xml:space="preserve">4 </w:t>
      </w:r>
      <w:r>
        <w:rPr>
          <w:rFonts w:eastAsia="Segoe UI" w:cs="Arial"/>
        </w:rPr>
        <w:t>Dan and Naph′ta·li; Gad and Ash′er.</w:t>
      </w:r>
      <w:r w:rsidR="00070375">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And all those</w:t>
      </w:r>
      <w:r w:rsidR="00070375">
        <w:rPr>
          <w:rStyle w:val="FootnoteReference"/>
          <w:rFonts w:eastAsia="Segoe UI" w:cs="Arial"/>
        </w:rPr>
        <w:footnoteReference w:id="1"/>
      </w:r>
      <w:r>
        <w:rPr>
          <w:rFonts w:eastAsia="Segoe UI" w:cs="Arial"/>
        </w:rPr>
        <w:t xml:space="preserve"> who were born to Jacob</w:t>
      </w:r>
      <w:r w:rsidR="00070375">
        <w:rPr>
          <w:rStyle w:val="FootnoteReference"/>
          <w:rFonts w:eastAsia="Segoe UI" w:cs="Arial"/>
        </w:rPr>
        <w:footnoteReference w:id="2"/>
      </w:r>
      <w:r>
        <w:rPr>
          <w:rFonts w:eastAsia="Segoe UI" w:cs="Arial"/>
        </w:rPr>
        <w:t xml:space="preserve"> were 70 people,</w:t>
      </w:r>
      <w:r w:rsidR="00070375">
        <w:rPr>
          <w:rStyle w:val="FootnoteReference"/>
          <w:rFonts w:eastAsia="Segoe UI" w:cs="Arial"/>
        </w:rPr>
        <w:footnoteReference w:id="3"/>
      </w:r>
      <w:r>
        <w:rPr>
          <w:rFonts w:eastAsia="Segoe UI" w:cs="Arial"/>
        </w:rPr>
        <w:t xml:space="preserve"> but Joseph was already in Egypt.</w:t>
      </w:r>
      <w:r w:rsidR="00070375">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6 </w:t>
      </w:r>
      <w:r>
        <w:rPr>
          <w:rFonts w:eastAsia="Segoe UI" w:cs="Arial"/>
        </w:rPr>
        <w:t>Joseph eventually died,</w:t>
      </w:r>
      <w:r w:rsidR="00070375">
        <w:rPr>
          <w:rStyle w:val="EndnoteReference"/>
          <w:rFonts w:eastAsia="Segoe UI" w:cs="Arial"/>
        </w:rPr>
        <w:endnoteReference w:id="5"/>
      </w:r>
      <w:r>
        <w:rPr>
          <w:rFonts w:eastAsia="Segoe UI" w:cs="Arial"/>
        </w:rPr>
        <w:t xml:space="preserve"> and also all his brothers and all that generation. </w:t>
      </w:r>
      <w:r>
        <w:rPr>
          <w:rFonts w:eastAsia="Segoe UI" w:cs="Arial"/>
          <w:b/>
        </w:rPr>
        <w:t xml:space="preserve">7 </w:t>
      </w:r>
      <w:r>
        <w:rPr>
          <w:rFonts w:eastAsia="Segoe UI" w:cs="Arial"/>
        </w:rPr>
        <w:t>And the Israelites</w:t>
      </w:r>
      <w:r w:rsidR="00070375">
        <w:rPr>
          <w:rStyle w:val="FootnoteReference"/>
          <w:rFonts w:eastAsia="Segoe UI" w:cs="Arial"/>
        </w:rPr>
        <w:footnoteReference w:id="4"/>
      </w:r>
      <w:r>
        <w:rPr>
          <w:rFonts w:eastAsia="Segoe UI" w:cs="Arial"/>
        </w:rPr>
        <w:t xml:space="preserve"> became fruitful and began to increase greatly, and they kept on multiplying and growing mightier at an extraordinary rate, so that the land became filled with them.</w:t>
      </w:r>
      <w:r w:rsidR="00070375">
        <w:rPr>
          <w:rStyle w:val="EndnoteReference"/>
          <w:rFonts w:eastAsia="Segoe UI" w:cs="Arial"/>
        </w:rPr>
        <w:endnoteReference w:id="6"/>
      </w:r>
    </w:p>
    <w:p w:rsidR="00E142A2" w:rsidRDefault="00E142A2" w:rsidP="00E142A2">
      <w:pPr>
        <w:rPr>
          <w:rFonts w:eastAsia="Segoe UI" w:cs="Arial"/>
        </w:rPr>
      </w:pPr>
      <w:r>
        <w:rPr>
          <w:rFonts w:eastAsia="Segoe UI" w:cs="Arial"/>
          <w:b/>
        </w:rPr>
        <w:t xml:space="preserve">8 </w:t>
      </w:r>
      <w:r>
        <w:rPr>
          <w:rFonts w:eastAsia="Segoe UI" w:cs="Arial"/>
        </w:rPr>
        <w:t xml:space="preserve">In time there arose over Egypt a new king, one who did not know Joseph. </w:t>
      </w:r>
      <w:r>
        <w:rPr>
          <w:rFonts w:eastAsia="Segoe UI" w:cs="Arial"/>
          <w:b/>
        </w:rPr>
        <w:t xml:space="preserve">9 </w:t>
      </w:r>
      <w:r>
        <w:rPr>
          <w:rFonts w:eastAsia="Segoe UI" w:cs="Arial"/>
        </w:rPr>
        <w:t>So he said to his people: “Look! The people of Israel are more numerous and mightier than we are.</w:t>
      </w:r>
      <w:r w:rsidR="00070375">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10 </w:t>
      </w:r>
      <w:r>
        <w:rPr>
          <w:rFonts w:eastAsia="Segoe UI" w:cs="Arial"/>
        </w:rPr>
        <w:t>Let us deal shrewdly with them. Otherwise, they will continue to multiply, and if a war breaks out, they will join our enemies and fight against us and leave the country.”</w:t>
      </w:r>
    </w:p>
    <w:p w:rsidR="00E142A2" w:rsidRDefault="00E142A2" w:rsidP="00E142A2">
      <w:pPr>
        <w:rPr>
          <w:rFonts w:ascii="MEPS Bookman WTS" w:eastAsia="Segoe UI" w:hAnsi="MEPS Bookman WTS" w:cs="Segoe UI"/>
        </w:rPr>
      </w:pPr>
      <w:r>
        <w:rPr>
          <w:rFonts w:eastAsia="Segoe UI" w:cs="Arial"/>
          <w:b/>
        </w:rPr>
        <w:t xml:space="preserve">11 </w:t>
      </w:r>
      <w:r>
        <w:rPr>
          <w:rFonts w:eastAsia="Segoe UI" w:cs="Arial"/>
        </w:rPr>
        <w:t>So they appointed chiefs of forced labor</w:t>
      </w:r>
      <w:r w:rsidR="00070375">
        <w:rPr>
          <w:rStyle w:val="FootnoteReference"/>
          <w:rFonts w:eastAsia="Segoe UI" w:cs="Arial"/>
        </w:rPr>
        <w:footnoteReference w:id="5"/>
      </w:r>
      <w:r>
        <w:rPr>
          <w:rFonts w:eastAsia="Segoe UI" w:cs="Arial"/>
        </w:rPr>
        <w:t xml:space="preserve"> over them to oppress them with hard labor,</w:t>
      </w:r>
      <w:r w:rsidR="00070375">
        <w:rPr>
          <w:rStyle w:val="EndnoteReference"/>
          <w:rFonts w:eastAsia="Segoe UI" w:cs="Arial"/>
        </w:rPr>
        <w:endnoteReference w:id="8"/>
      </w:r>
      <w:r>
        <w:rPr>
          <w:rFonts w:eastAsia="Segoe UI" w:cs="Arial"/>
        </w:rPr>
        <w:t xml:space="preserve"> and they built storage cities for Phar′aoh, namely, Pi′thom and Ra·am′ses.</w:t>
      </w:r>
      <w:r w:rsidR="00070375">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12 </w:t>
      </w:r>
      <w:r>
        <w:rPr>
          <w:rFonts w:eastAsia="Segoe UI" w:cs="Arial"/>
        </w:rPr>
        <w:t>But the more they would oppress them, the more they would multiply and the more they kept spreading out, so they felt sick with fear because of the Israelites.</w:t>
      </w:r>
      <w:r w:rsidR="00070375">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13 </w:t>
      </w:r>
      <w:r>
        <w:rPr>
          <w:rFonts w:eastAsia="Segoe UI" w:cs="Arial"/>
        </w:rPr>
        <w:t>Consequently, the Egyptians forced the Israelites into harsh slavery.</w:t>
      </w:r>
      <w:r w:rsidR="00070375">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14 </w:t>
      </w:r>
      <w:r>
        <w:rPr>
          <w:rFonts w:eastAsia="Segoe UI" w:cs="Arial"/>
        </w:rPr>
        <w:t>They made their life bitter with hard labor, as they worked with clay mortar and bricks and in every form of slavery in the field. Yes, they made them toil in harsh conditions in every form of slavery.</w:t>
      </w:r>
      <w:r w:rsidR="00070375">
        <w:rPr>
          <w:rStyle w:val="EndnoteReference"/>
          <w:rFonts w:eastAsia="Segoe UI" w:cs="Arial"/>
        </w:rPr>
        <w:endnoteReference w:id="12"/>
      </w:r>
    </w:p>
    <w:p w:rsidR="00E142A2" w:rsidRDefault="00E142A2" w:rsidP="00E142A2">
      <w:pPr>
        <w:rPr>
          <w:rFonts w:eastAsia="Segoe UI" w:cs="Arial"/>
        </w:rPr>
      </w:pPr>
      <w:r>
        <w:rPr>
          <w:rFonts w:eastAsia="Segoe UI" w:cs="Arial"/>
          <w:b/>
        </w:rPr>
        <w:t xml:space="preserve">15 </w:t>
      </w:r>
      <w:r>
        <w:rPr>
          <w:rFonts w:eastAsia="Segoe UI" w:cs="Arial"/>
        </w:rPr>
        <w:t xml:space="preserve">Later the king of Egypt spoke to the Hebrew midwives whose names were Shiph′rah and Pu′ah, </w:t>
      </w:r>
      <w:r>
        <w:rPr>
          <w:rFonts w:eastAsia="Segoe UI" w:cs="Arial"/>
          <w:b/>
        </w:rPr>
        <w:t xml:space="preserve">16 </w:t>
      </w:r>
      <w:r>
        <w:rPr>
          <w:rFonts w:eastAsia="Segoe UI" w:cs="Arial"/>
        </w:rPr>
        <w:t>and he told them: “When you help the Hebrew women to give birth</w:t>
      </w:r>
      <w:r w:rsidR="00070375">
        <w:rPr>
          <w:rStyle w:val="EndnoteReference"/>
          <w:rFonts w:eastAsia="Segoe UI" w:cs="Arial"/>
        </w:rPr>
        <w:endnoteReference w:id="13"/>
      </w:r>
      <w:r>
        <w:rPr>
          <w:rFonts w:eastAsia="Segoe UI" w:cs="Arial"/>
        </w:rPr>
        <w:t xml:space="preserve"> and you see them on the stool for childbirth,</w:t>
      </w:r>
      <w:r w:rsidR="00070375">
        <w:rPr>
          <w:rStyle w:val="FootnoteReference"/>
          <w:rFonts w:eastAsia="Segoe UI" w:cs="Arial"/>
        </w:rPr>
        <w:footnoteReference w:id="6"/>
      </w:r>
      <w:r>
        <w:rPr>
          <w:rFonts w:eastAsia="Segoe UI" w:cs="Arial"/>
        </w:rPr>
        <w:t xml:space="preserve"> you must put the child to death if it is a son; but if it is a daughter, she must live.” </w:t>
      </w:r>
      <w:r>
        <w:rPr>
          <w:rFonts w:eastAsia="Segoe UI" w:cs="Arial"/>
          <w:b/>
        </w:rPr>
        <w:t xml:space="preserve">17 </w:t>
      </w:r>
      <w:r>
        <w:rPr>
          <w:rFonts w:eastAsia="Segoe UI" w:cs="Arial"/>
        </w:rPr>
        <w:t>However, the midwives feared the true God, and they did not do what the king of Egypt told them. Instead, they would keep the male children alive.</w:t>
      </w:r>
      <w:r w:rsidR="00070375">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18 </w:t>
      </w:r>
      <w:r>
        <w:rPr>
          <w:rFonts w:eastAsia="Segoe UI" w:cs="Arial"/>
        </w:rPr>
        <w:t xml:space="preserve">In time the king of Egypt called the midwives and said to them: “Why have you kept the male children alive?” </w:t>
      </w:r>
      <w:r>
        <w:rPr>
          <w:rFonts w:eastAsia="Segoe UI" w:cs="Arial"/>
          <w:b/>
        </w:rPr>
        <w:t xml:space="preserve">19 </w:t>
      </w:r>
      <w:r>
        <w:rPr>
          <w:rFonts w:eastAsia="Segoe UI" w:cs="Arial"/>
        </w:rPr>
        <w:t>The midwives said to Phar′aoh: “The Hebrew women are not like the Egyptian women. They are lively and have already given birth before the midwife can come in to them.”</w:t>
      </w:r>
    </w:p>
    <w:p w:rsidR="00E142A2" w:rsidRDefault="00E142A2" w:rsidP="00E142A2">
      <w:pPr>
        <w:rPr>
          <w:rFonts w:ascii="MEPS Bookman WTS" w:eastAsia="Segoe UI" w:hAnsi="MEPS Bookman WTS" w:cs="Segoe UI"/>
        </w:rPr>
      </w:pPr>
      <w:r>
        <w:rPr>
          <w:rFonts w:eastAsia="Segoe UI" w:cs="Arial"/>
          <w:b/>
        </w:rPr>
        <w:t xml:space="preserve">20 </w:t>
      </w:r>
      <w:r>
        <w:rPr>
          <w:rFonts w:eastAsia="Segoe UI" w:cs="Arial"/>
        </w:rPr>
        <w:t xml:space="preserve">So God dealt well with the midwives, and the people kept increasing and becoming very mighty. </w:t>
      </w:r>
      <w:r>
        <w:rPr>
          <w:rFonts w:eastAsia="Segoe UI" w:cs="Arial"/>
          <w:b/>
        </w:rPr>
        <w:t xml:space="preserve">21 </w:t>
      </w:r>
      <w:r>
        <w:rPr>
          <w:rFonts w:eastAsia="Segoe UI" w:cs="Arial"/>
        </w:rPr>
        <w:t xml:space="preserve">And because the midwives had feared the true God, he later gave them families. </w:t>
      </w:r>
      <w:r>
        <w:rPr>
          <w:rFonts w:eastAsia="Segoe UI" w:cs="Arial"/>
          <w:b/>
        </w:rPr>
        <w:t xml:space="preserve">22 </w:t>
      </w:r>
      <w:r>
        <w:rPr>
          <w:rFonts w:eastAsia="Segoe UI" w:cs="Arial"/>
        </w:rPr>
        <w:t>Finally Phar′aoh commanded all his people: “You are to throw every newborn son of the Hebrews into the Nile River, but you are to keep every daughter alive.”</w:t>
      </w:r>
      <w:r w:rsidR="00070375">
        <w:rPr>
          <w:rStyle w:val="EndnoteReference"/>
          <w:rFonts w:eastAsia="Segoe UI" w:cs="Arial"/>
        </w:rPr>
        <w:endnoteReference w:id="15"/>
      </w:r>
    </w:p>
    <w:p w:rsidR="00762BCB" w:rsidRPr="00E142A2" w:rsidRDefault="00762BCB" w:rsidP="00E142A2"/>
    <w:sectPr w:rsidR="00762BCB" w:rsidRPr="00E142A2"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5D20" w:rsidRDefault="005D5D20">
      <w:r>
        <w:separator/>
      </w:r>
    </w:p>
  </w:endnote>
  <w:endnote w:type="continuationSeparator" w:id="0">
    <w:p w:rsidR="005D5D20" w:rsidRDefault="005D5D20">
      <w:r>
        <w:continuationSeparator/>
      </w:r>
    </w:p>
  </w:endnote>
  <w:endnote w:id="1">
    <w:p w:rsidR="00070375" w:rsidRDefault="00070375">
      <w:pPr>
        <w:pStyle w:val="EndnoteText"/>
      </w:pPr>
      <w:r>
        <w:rPr>
          <w:rStyle w:val="EndnoteReference"/>
        </w:rPr>
        <w:endnoteRef/>
      </w:r>
      <w:r>
        <w:t xml:space="preserve"> Genesis 46:8</w:t>
      </w:r>
    </w:p>
  </w:endnote>
  <w:endnote w:id="2">
    <w:p w:rsidR="00070375" w:rsidRDefault="00070375">
      <w:pPr>
        <w:pStyle w:val="EndnoteText"/>
      </w:pPr>
      <w:r>
        <w:rPr>
          <w:rStyle w:val="EndnoteReference"/>
        </w:rPr>
        <w:endnoteRef/>
      </w:r>
      <w:r>
        <w:t xml:space="preserve"> 1 Chronicles 2:3, 4</w:t>
      </w:r>
    </w:p>
  </w:endnote>
  <w:endnote w:id="3">
    <w:p w:rsidR="00070375" w:rsidRDefault="00070375">
      <w:pPr>
        <w:pStyle w:val="EndnoteText"/>
      </w:pPr>
      <w:r>
        <w:rPr>
          <w:rStyle w:val="EndnoteReference"/>
        </w:rPr>
        <w:endnoteRef/>
      </w:r>
      <w:r>
        <w:t xml:space="preserve"> Genesis 46:17</w:t>
      </w:r>
    </w:p>
  </w:endnote>
  <w:endnote w:id="4">
    <w:p w:rsidR="00070375" w:rsidRDefault="00070375">
      <w:pPr>
        <w:pStyle w:val="EndnoteText"/>
      </w:pPr>
      <w:r>
        <w:rPr>
          <w:rStyle w:val="EndnoteReference"/>
        </w:rPr>
        <w:endnoteRef/>
      </w:r>
      <w:r>
        <w:t xml:space="preserve"> Genesis 46:26; Deuteronomy 10:22; Acts 7:14</w:t>
      </w:r>
    </w:p>
  </w:endnote>
  <w:endnote w:id="5">
    <w:p w:rsidR="00070375" w:rsidRDefault="00070375">
      <w:pPr>
        <w:pStyle w:val="EndnoteText"/>
      </w:pPr>
      <w:r>
        <w:rPr>
          <w:rStyle w:val="EndnoteReference"/>
        </w:rPr>
        <w:endnoteRef/>
      </w:r>
      <w:r>
        <w:t xml:space="preserve"> Genesis 50:26</w:t>
      </w:r>
    </w:p>
  </w:endnote>
  <w:endnote w:id="6">
    <w:p w:rsidR="00070375" w:rsidRDefault="00070375">
      <w:pPr>
        <w:pStyle w:val="EndnoteText"/>
      </w:pPr>
      <w:r>
        <w:rPr>
          <w:rStyle w:val="EndnoteReference"/>
        </w:rPr>
        <w:endnoteRef/>
      </w:r>
      <w:r>
        <w:t xml:space="preserve"> Genesis 46:3; Deuteronomy 26:5; Acts 7:17-19</w:t>
      </w:r>
    </w:p>
  </w:endnote>
  <w:endnote w:id="7">
    <w:p w:rsidR="00070375" w:rsidRDefault="00070375">
      <w:pPr>
        <w:pStyle w:val="EndnoteText"/>
      </w:pPr>
      <w:r>
        <w:rPr>
          <w:rStyle w:val="EndnoteReference"/>
        </w:rPr>
        <w:endnoteRef/>
      </w:r>
      <w:r>
        <w:t xml:space="preserve"> Psalms 105:24, 25</w:t>
      </w:r>
    </w:p>
  </w:endnote>
  <w:endnote w:id="8">
    <w:p w:rsidR="00070375" w:rsidRDefault="00070375">
      <w:pPr>
        <w:pStyle w:val="EndnoteText"/>
      </w:pPr>
      <w:r>
        <w:rPr>
          <w:rStyle w:val="EndnoteReference"/>
        </w:rPr>
        <w:endnoteRef/>
      </w:r>
      <w:r>
        <w:t xml:space="preserve"> Genesis 15:13; Exodus 3:7; Numbers 20:15; Deuteronomy 26:6</w:t>
      </w:r>
    </w:p>
  </w:endnote>
  <w:endnote w:id="9">
    <w:p w:rsidR="00070375" w:rsidRDefault="00070375">
      <w:pPr>
        <w:pStyle w:val="EndnoteText"/>
      </w:pPr>
      <w:r>
        <w:rPr>
          <w:rStyle w:val="EndnoteReference"/>
        </w:rPr>
        <w:endnoteRef/>
      </w:r>
      <w:r>
        <w:t xml:space="preserve"> Genesis 47:11</w:t>
      </w:r>
    </w:p>
  </w:endnote>
  <w:endnote w:id="10">
    <w:p w:rsidR="00070375" w:rsidRDefault="00070375">
      <w:pPr>
        <w:pStyle w:val="EndnoteText"/>
      </w:pPr>
      <w:r>
        <w:rPr>
          <w:rStyle w:val="EndnoteReference"/>
        </w:rPr>
        <w:endnoteRef/>
      </w:r>
      <w:r>
        <w:t xml:space="preserve"> Exodus 1:7; Psalms 105:24, 25</w:t>
      </w:r>
    </w:p>
  </w:endnote>
  <w:endnote w:id="11">
    <w:p w:rsidR="00070375" w:rsidRDefault="00070375">
      <w:pPr>
        <w:pStyle w:val="EndnoteText"/>
      </w:pPr>
      <w:r>
        <w:rPr>
          <w:rStyle w:val="EndnoteReference"/>
        </w:rPr>
        <w:endnoteRef/>
      </w:r>
      <w:r>
        <w:t xml:space="preserve"> Exodus 2:23; Acts 7:6</w:t>
      </w:r>
    </w:p>
  </w:endnote>
  <w:endnote w:id="12">
    <w:p w:rsidR="00070375" w:rsidRDefault="00070375">
      <w:pPr>
        <w:pStyle w:val="EndnoteText"/>
      </w:pPr>
      <w:r>
        <w:rPr>
          <w:rStyle w:val="EndnoteReference"/>
        </w:rPr>
        <w:endnoteRef/>
      </w:r>
      <w:r>
        <w:t xml:space="preserve"> Leviticus 26:13</w:t>
      </w:r>
    </w:p>
  </w:endnote>
  <w:endnote w:id="13">
    <w:p w:rsidR="00070375" w:rsidRDefault="00070375">
      <w:pPr>
        <w:pStyle w:val="EndnoteText"/>
      </w:pPr>
      <w:r>
        <w:rPr>
          <w:rStyle w:val="EndnoteReference"/>
        </w:rPr>
        <w:endnoteRef/>
      </w:r>
      <w:r>
        <w:t xml:space="preserve"> Ezekiel 16:4</w:t>
      </w:r>
    </w:p>
  </w:endnote>
  <w:endnote w:id="14">
    <w:p w:rsidR="00070375" w:rsidRDefault="00070375">
      <w:pPr>
        <w:pStyle w:val="EndnoteText"/>
      </w:pPr>
      <w:r>
        <w:rPr>
          <w:rStyle w:val="EndnoteReference"/>
        </w:rPr>
        <w:endnoteRef/>
      </w:r>
      <w:r>
        <w:t xml:space="preserve"> Genesis 9:5, 6</w:t>
      </w:r>
    </w:p>
  </w:endnote>
  <w:endnote w:id="15">
    <w:p w:rsidR="00070375" w:rsidRDefault="00070375">
      <w:pPr>
        <w:pStyle w:val="EndnoteText"/>
      </w:pPr>
      <w:r>
        <w:rPr>
          <w:rStyle w:val="EndnoteReference"/>
        </w:rPr>
        <w:endnoteRef/>
      </w:r>
      <w:r>
        <w:t xml:space="preserve"> Acts 7:18, 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5D20" w:rsidRDefault="005D5D20">
      <w:r>
        <w:separator/>
      </w:r>
    </w:p>
  </w:footnote>
  <w:footnote w:type="continuationSeparator" w:id="0">
    <w:p w:rsidR="005D5D20" w:rsidRDefault="005D5D20">
      <w:r>
        <w:continuationSeparator/>
      </w:r>
    </w:p>
  </w:footnote>
  <w:footnote w:id="1">
    <w:p w:rsidR="00070375" w:rsidRDefault="00070375">
      <w:pPr>
        <w:pStyle w:val="FootnoteText"/>
      </w:pPr>
      <w:r>
        <w:rPr>
          <w:rStyle w:val="FootnoteReference"/>
        </w:rPr>
        <w:footnoteRef/>
      </w:r>
      <w:r>
        <w:t xml:space="preserve"> </w:t>
      </w:r>
      <w:r>
        <w:t>Or “the souls.”</w:t>
      </w:r>
    </w:p>
  </w:footnote>
  <w:footnote w:id="2">
    <w:p w:rsidR="00070375" w:rsidRDefault="00070375">
      <w:pPr>
        <w:pStyle w:val="FootnoteText"/>
      </w:pPr>
      <w:r>
        <w:rPr>
          <w:rStyle w:val="FootnoteReference"/>
        </w:rPr>
        <w:footnoteRef/>
      </w:r>
      <w:r>
        <w:t xml:space="preserve"> </w:t>
      </w:r>
      <w:r>
        <w:t>Lit., “who came out from the thigh of Jacob.”</w:t>
      </w:r>
    </w:p>
  </w:footnote>
  <w:footnote w:id="3">
    <w:p w:rsidR="00070375" w:rsidRDefault="00070375">
      <w:pPr>
        <w:pStyle w:val="FootnoteText"/>
      </w:pPr>
      <w:r>
        <w:rPr>
          <w:rStyle w:val="FootnoteReference"/>
        </w:rPr>
        <w:footnoteRef/>
      </w:r>
      <w:r>
        <w:t xml:space="preserve"> </w:t>
      </w:r>
      <w:r>
        <w:t>Or “souls.”</w:t>
      </w:r>
    </w:p>
  </w:footnote>
  <w:footnote w:id="4">
    <w:p w:rsidR="00070375" w:rsidRDefault="00070375">
      <w:pPr>
        <w:pStyle w:val="FootnoteText"/>
      </w:pPr>
      <w:r>
        <w:rPr>
          <w:rStyle w:val="FootnoteReference"/>
        </w:rPr>
        <w:footnoteRef/>
      </w:r>
      <w:r>
        <w:t xml:space="preserve"> </w:t>
      </w:r>
      <w:r>
        <w:t>Lit., “sons of Israel.”</w:t>
      </w:r>
    </w:p>
  </w:footnote>
  <w:footnote w:id="5">
    <w:p w:rsidR="00070375" w:rsidRDefault="00070375">
      <w:pPr>
        <w:pStyle w:val="FootnoteText"/>
      </w:pPr>
      <w:r>
        <w:rPr>
          <w:rStyle w:val="FootnoteReference"/>
        </w:rPr>
        <w:footnoteRef/>
      </w:r>
      <w:r>
        <w:t xml:space="preserve"> </w:t>
      </w:r>
      <w:r>
        <w:t>Or “appointed taskmasters.”</w:t>
      </w:r>
    </w:p>
  </w:footnote>
  <w:footnote w:id="6">
    <w:p w:rsidR="00070375" w:rsidRDefault="00070375">
      <w:pPr>
        <w:pStyle w:val="FootnoteText"/>
      </w:pPr>
      <w:r>
        <w:rPr>
          <w:rStyle w:val="FootnoteReference"/>
        </w:rPr>
        <w:footnoteRef/>
      </w:r>
      <w:r>
        <w:t xml:space="preserve"> </w:t>
      </w:r>
      <w:r>
        <w:t>Or “the birth stool.”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7037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70375">
        <w:t>Exodus Chapter 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70375">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70375">
      <w:rPr>
        <w:noProof/>
        <w:snapToGrid w:val="0"/>
      </w:rPr>
      <w:t>Exodus 01.Advisor.docx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70375">
        <w:t>Exodus Chapter 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70375">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70375">
      <w:rPr>
        <w:noProof/>
        <w:snapToGrid w:val="0"/>
      </w:rPr>
      <w:t>Exodus 01.Advisor.docx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7037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70375">
      <w:t>&lt;not set&gt;</w:t>
    </w:r>
    <w:r>
      <w:fldChar w:fldCharType="end"/>
    </w:r>
    <w:r>
      <w:tab/>
      <w:t xml:space="preserve">Checker: </w:t>
    </w:r>
    <w:r>
      <w:fldChar w:fldCharType="begin"/>
    </w:r>
    <w:r>
      <w:instrText xml:space="preserve"> DOCPROPERTY "_RoleChecker" </w:instrText>
    </w:r>
    <w:r>
      <w:fldChar w:fldCharType="separate"/>
    </w:r>
    <w:r w:rsidR="0007037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7037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D20"/>
    <w:rsid w:val="00070375"/>
    <w:rsid w:val="00245EDD"/>
    <w:rsid w:val="0026230D"/>
    <w:rsid w:val="002B524D"/>
    <w:rsid w:val="002C00A8"/>
    <w:rsid w:val="00310508"/>
    <w:rsid w:val="003B380B"/>
    <w:rsid w:val="004500A2"/>
    <w:rsid w:val="004B7393"/>
    <w:rsid w:val="004C5EB7"/>
    <w:rsid w:val="005D4494"/>
    <w:rsid w:val="005D5D20"/>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142A2"/>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d77be8705fe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70375"/>
    <w:pPr>
      <w:spacing w:line="240" w:lineRule="auto"/>
    </w:pPr>
    <w:rPr>
      <w:sz w:val="20"/>
      <w:szCs w:val="20"/>
    </w:rPr>
  </w:style>
  <w:style w:type="character" w:customStyle="1" w:styleId="FootnoteTextChar">
    <w:name w:val="Footnote Text Char"/>
    <w:basedOn w:val="DefaultParagraphFont"/>
    <w:link w:val="FootnoteText"/>
    <w:rsid w:val="00070375"/>
    <w:rPr>
      <w:rFonts w:ascii="Arial" w:eastAsia="Times New Roman" w:hAnsi="Arial" w:cs="Latha"/>
      <w:lang w:val="en-US" w:eastAsia="en-US" w:bidi="ta-IN"/>
    </w:rPr>
  </w:style>
  <w:style w:type="character" w:styleId="FootnoteReference">
    <w:name w:val="footnote reference"/>
    <w:basedOn w:val="DefaultParagraphFont"/>
    <w:rsid w:val="00070375"/>
    <w:rPr>
      <w:vertAlign w:val="superscript"/>
    </w:rPr>
  </w:style>
  <w:style w:type="paragraph" w:styleId="EndnoteText">
    <w:name w:val="endnote text"/>
    <w:basedOn w:val="Normal"/>
    <w:link w:val="EndnoteTextChar"/>
    <w:rsid w:val="00070375"/>
    <w:pPr>
      <w:spacing w:line="240" w:lineRule="auto"/>
    </w:pPr>
    <w:rPr>
      <w:sz w:val="20"/>
      <w:szCs w:val="20"/>
    </w:rPr>
  </w:style>
  <w:style w:type="character" w:customStyle="1" w:styleId="EndnoteTextChar">
    <w:name w:val="Endnote Text Char"/>
    <w:basedOn w:val="DefaultParagraphFont"/>
    <w:link w:val="EndnoteText"/>
    <w:rsid w:val="00070375"/>
    <w:rPr>
      <w:rFonts w:ascii="Arial" w:eastAsia="Times New Roman" w:hAnsi="Arial" w:cs="Latha"/>
      <w:lang w:val="en-US" w:eastAsia="en-US" w:bidi="ta-IN"/>
    </w:rPr>
  </w:style>
  <w:style w:type="character" w:styleId="EndnoteReference">
    <w:name w:val="endnote reference"/>
    <w:basedOn w:val="DefaultParagraphFont"/>
    <w:rsid w:val="0007037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70375"/>
    <w:pPr>
      <w:spacing w:line="240" w:lineRule="auto"/>
    </w:pPr>
    <w:rPr>
      <w:sz w:val="20"/>
      <w:szCs w:val="20"/>
    </w:rPr>
  </w:style>
  <w:style w:type="character" w:customStyle="1" w:styleId="FootnoteTextChar">
    <w:name w:val="Footnote Text Char"/>
    <w:basedOn w:val="DefaultParagraphFont"/>
    <w:link w:val="FootnoteText"/>
    <w:rsid w:val="00070375"/>
    <w:rPr>
      <w:rFonts w:ascii="Arial" w:eastAsia="Times New Roman" w:hAnsi="Arial" w:cs="Latha"/>
      <w:lang w:val="en-US" w:eastAsia="en-US" w:bidi="ta-IN"/>
    </w:rPr>
  </w:style>
  <w:style w:type="character" w:styleId="FootnoteReference">
    <w:name w:val="footnote reference"/>
    <w:basedOn w:val="DefaultParagraphFont"/>
    <w:rsid w:val="00070375"/>
    <w:rPr>
      <w:vertAlign w:val="superscript"/>
    </w:rPr>
  </w:style>
  <w:style w:type="paragraph" w:styleId="EndnoteText">
    <w:name w:val="endnote text"/>
    <w:basedOn w:val="Normal"/>
    <w:link w:val="EndnoteTextChar"/>
    <w:rsid w:val="00070375"/>
    <w:pPr>
      <w:spacing w:line="240" w:lineRule="auto"/>
    </w:pPr>
    <w:rPr>
      <w:sz w:val="20"/>
      <w:szCs w:val="20"/>
    </w:rPr>
  </w:style>
  <w:style w:type="character" w:customStyle="1" w:styleId="EndnoteTextChar">
    <w:name w:val="Endnote Text Char"/>
    <w:basedOn w:val="DefaultParagraphFont"/>
    <w:link w:val="EndnoteText"/>
    <w:rsid w:val="00070375"/>
    <w:rPr>
      <w:rFonts w:ascii="Arial" w:eastAsia="Times New Roman" w:hAnsi="Arial" w:cs="Latha"/>
      <w:lang w:val="en-US" w:eastAsia="en-US" w:bidi="ta-IN"/>
    </w:rPr>
  </w:style>
  <w:style w:type="character" w:styleId="EndnoteReference">
    <w:name w:val="endnote reference"/>
    <w:basedOn w:val="DefaultParagraphFont"/>
    <w:rsid w:val="000703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d77be8705fe49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480</ap:Words>
  <ap:Characters>2152</ap:Characters>
  <ap:Application>Microsoft Office Word</ap:Application>
  <ap:DocSecurity>0</ap:DocSecurity>
  <ap:Lines>36</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2625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dc:title>
  <dc:subject/>
  <dc:creator>David Waterson</dc:creator>
  <cp:keywords/>
  <dc:description/>
  <cp:lastModifiedBy>David Waterson</cp:lastModifiedBy>
  <cp:revision>3</cp:revision>
  <dcterms:created xsi:type="dcterms:W3CDTF">2019-08-04T13:39:00Z</dcterms:created>
  <dcterms:modified xsi:type="dcterms:W3CDTF">2019-08-04T13:39:00Z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01.docx</vt:lpwstr>
  </property>
  <property fmtid="{D5CDD505-2E9C-101B-9397-08002B2CF9AE}" pid="9" name="_TranslationDocumentId">
    <vt:i4>19381</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