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CBF" w:rsidRDefault="00506CBF" w:rsidP="00506CBF">
      <w:pPr>
        <w:rPr>
          <w:rFonts w:ascii="MEPS Bookman WTS" w:eastAsia="Segoe UI" w:hAnsi="MEPS Bookman WTS" w:cs="Segoe UI"/>
        </w:rPr>
      </w:pPr>
      <w:bookmarkStart w:id="0" w:name="_GoBack"/>
      <w:bookmarkEnd w:id="0"/>
      <w:r>
        <w:rPr>
          <w:rFonts w:eastAsia="Segoe UI" w:cs="Arial"/>
          <w:b/>
        </w:rPr>
        <w:t xml:space="preserve">23:1 </w:t>
      </w:r>
      <w:r>
        <w:rPr>
          <w:rFonts w:eastAsia="Segoe UI" w:cs="Arial"/>
        </w:rPr>
        <w:t>“You must not spread</w:t>
      </w:r>
      <w:r w:rsidR="00C765B7">
        <w:rPr>
          <w:rStyle w:val="FootnoteReference"/>
          <w:rFonts w:eastAsia="Segoe UI" w:cs="Arial"/>
        </w:rPr>
        <w:footnoteReference w:id="1"/>
      </w:r>
      <w:r>
        <w:rPr>
          <w:rFonts w:eastAsia="Segoe UI" w:cs="Arial"/>
        </w:rPr>
        <w:t xml:space="preserve"> a report that is not true.</w:t>
      </w:r>
      <w:r w:rsidR="00C765B7">
        <w:rPr>
          <w:rStyle w:val="EndnoteReference"/>
          <w:rFonts w:eastAsia="Segoe UI" w:cs="Arial"/>
        </w:rPr>
        <w:endnoteReference w:id="1"/>
      </w:r>
      <w:r>
        <w:rPr>
          <w:rFonts w:eastAsia="Segoe UI" w:cs="Arial"/>
        </w:rPr>
        <w:t xml:space="preserve"> Do not cooperate with a wicked one by becoming a malicious witness.</w:t>
      </w:r>
      <w:r w:rsidR="00C765B7">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You must not follow after the crowd to do evil, and you must not pervert justice by giving testimony to go along with the crowd.</w:t>
      </w:r>
      <w:r w:rsidR="00C765B7">
        <w:rPr>
          <w:rStyle w:val="FootnoteReference"/>
          <w:rFonts w:eastAsia="Segoe UI" w:cs="Arial"/>
        </w:rPr>
        <w:footnoteReference w:id="2"/>
      </w:r>
      <w:r>
        <w:rPr>
          <w:rFonts w:ascii="MEPS Bookman WTS" w:eastAsia="Segoe UI" w:hAnsi="MEPS Bookman WTS" w:cs="Segoe UI"/>
        </w:rPr>
        <w:t xml:space="preserve"> </w:t>
      </w:r>
      <w:r>
        <w:rPr>
          <w:rFonts w:eastAsia="Segoe UI" w:cs="Arial"/>
          <w:b/>
        </w:rPr>
        <w:t xml:space="preserve">3 </w:t>
      </w:r>
      <w:r>
        <w:rPr>
          <w:rFonts w:eastAsia="Segoe UI" w:cs="Arial"/>
        </w:rPr>
        <w:t>You must show impartiality in the dispute of a poor person.</w:t>
      </w:r>
      <w:r w:rsidR="00C765B7">
        <w:rPr>
          <w:rStyle w:val="EndnoteReference"/>
          <w:rFonts w:eastAsia="Segoe UI" w:cs="Arial"/>
        </w:rPr>
        <w:endnoteReference w:id="3"/>
      </w:r>
    </w:p>
    <w:p w:rsidR="00506CBF" w:rsidRDefault="00506CBF" w:rsidP="00506CBF">
      <w:pPr>
        <w:rPr>
          <w:rFonts w:ascii="MEPS Bookman WTS" w:eastAsia="Segoe UI" w:hAnsi="MEPS Bookman WTS" w:cs="Segoe UI"/>
        </w:rPr>
      </w:pPr>
      <w:r>
        <w:rPr>
          <w:rFonts w:eastAsia="Segoe UI" w:cs="Arial"/>
          <w:b/>
        </w:rPr>
        <w:t xml:space="preserve">4 </w:t>
      </w:r>
      <w:r>
        <w:rPr>
          <w:rFonts w:eastAsia="Segoe UI" w:cs="Arial"/>
        </w:rPr>
        <w:t>“If you come upon your enemy’s bull or his donkey straying, you must return it to him.</w:t>
      </w:r>
      <w:r w:rsidR="00C765B7">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5 </w:t>
      </w:r>
      <w:r>
        <w:rPr>
          <w:rFonts w:eastAsia="Segoe UI" w:cs="Arial"/>
        </w:rPr>
        <w:t>If you see that the donkey of someone who hates you has fallen under its load, you must not ignore it and leave. You must help him release the animal.</w:t>
      </w:r>
      <w:r w:rsidR="00C765B7">
        <w:rPr>
          <w:rStyle w:val="EndnoteReference"/>
          <w:rFonts w:eastAsia="Segoe UI" w:cs="Arial"/>
        </w:rPr>
        <w:endnoteReference w:id="5"/>
      </w:r>
    </w:p>
    <w:p w:rsidR="00506CBF" w:rsidRDefault="00506CBF" w:rsidP="00506CBF">
      <w:pPr>
        <w:rPr>
          <w:rFonts w:ascii="MEPS Bookman WTS" w:eastAsia="Segoe UI" w:hAnsi="MEPS Bookman WTS" w:cs="Segoe UI"/>
        </w:rPr>
      </w:pPr>
      <w:r>
        <w:rPr>
          <w:rFonts w:eastAsia="Segoe UI" w:cs="Arial"/>
          <w:b/>
        </w:rPr>
        <w:t xml:space="preserve">6 </w:t>
      </w:r>
      <w:r>
        <w:rPr>
          <w:rFonts w:eastAsia="Segoe UI" w:cs="Arial"/>
        </w:rPr>
        <w:t>“You are not to pervert the judgment of the poor one among you in his legal case.</w:t>
      </w:r>
      <w:r w:rsidR="00C765B7">
        <w:rPr>
          <w:rStyle w:val="EndnoteReference"/>
          <w:rFonts w:eastAsia="Segoe UI" w:cs="Arial"/>
        </w:rPr>
        <w:endnoteReference w:id="6"/>
      </w:r>
    </w:p>
    <w:p w:rsidR="00506CBF" w:rsidRDefault="00506CBF" w:rsidP="00506CBF">
      <w:pPr>
        <w:rPr>
          <w:rFonts w:ascii="MEPS Bookman WTS" w:eastAsia="Segoe UI" w:hAnsi="MEPS Bookman WTS" w:cs="Segoe UI"/>
        </w:rPr>
      </w:pPr>
      <w:r>
        <w:rPr>
          <w:rFonts w:eastAsia="Segoe UI" w:cs="Arial"/>
          <w:b/>
        </w:rPr>
        <w:t xml:space="preserve">7 </w:t>
      </w:r>
      <w:r>
        <w:rPr>
          <w:rFonts w:eastAsia="Segoe UI" w:cs="Arial"/>
        </w:rPr>
        <w:t>“Have nothing to do with a false accusation,</w:t>
      </w:r>
      <w:r w:rsidR="00C765B7">
        <w:rPr>
          <w:rStyle w:val="FootnoteReference"/>
          <w:rFonts w:eastAsia="Segoe UI" w:cs="Arial"/>
        </w:rPr>
        <w:footnoteReference w:id="3"/>
      </w:r>
      <w:r>
        <w:rPr>
          <w:rFonts w:eastAsia="Segoe UI" w:cs="Arial"/>
        </w:rPr>
        <w:t xml:space="preserve"> and do not kill the innocent and the righteous, for I will not declare the wicked one righteous.</w:t>
      </w:r>
      <w:r w:rsidR="00C765B7">
        <w:rPr>
          <w:rStyle w:val="FootnoteReference"/>
          <w:rFonts w:eastAsia="Segoe UI" w:cs="Arial"/>
        </w:rPr>
        <w:footnoteReference w:id="4"/>
      </w:r>
      <w:r w:rsidR="00C765B7">
        <w:rPr>
          <w:rStyle w:val="EndnoteReference"/>
          <w:rFonts w:eastAsia="Segoe UI" w:cs="Arial"/>
        </w:rPr>
        <w:endnoteReference w:id="7"/>
      </w:r>
    </w:p>
    <w:p w:rsidR="00506CBF" w:rsidRDefault="00506CBF" w:rsidP="00506CBF">
      <w:pPr>
        <w:rPr>
          <w:rFonts w:ascii="MEPS Bookman WTS" w:eastAsia="Segoe UI" w:hAnsi="MEPS Bookman WTS" w:cs="Segoe UI"/>
        </w:rPr>
      </w:pPr>
      <w:r>
        <w:rPr>
          <w:rFonts w:eastAsia="Segoe UI" w:cs="Arial"/>
          <w:b/>
        </w:rPr>
        <w:t xml:space="preserve">8 </w:t>
      </w:r>
      <w:r>
        <w:rPr>
          <w:rFonts w:eastAsia="Segoe UI" w:cs="Arial"/>
        </w:rPr>
        <w:t>“You must not accept a bribe, for the bribe blinds clear-sighted men and can distort the words of righteous men.</w:t>
      </w:r>
      <w:r w:rsidR="00C765B7">
        <w:rPr>
          <w:rStyle w:val="EndnoteReference"/>
          <w:rFonts w:eastAsia="Segoe UI" w:cs="Arial"/>
        </w:rPr>
        <w:endnoteReference w:id="8"/>
      </w:r>
    </w:p>
    <w:p w:rsidR="00506CBF" w:rsidRDefault="00506CBF" w:rsidP="00506CBF">
      <w:pPr>
        <w:rPr>
          <w:rFonts w:ascii="MEPS Bookman WTS" w:eastAsia="Segoe UI" w:hAnsi="MEPS Bookman WTS" w:cs="Segoe UI"/>
        </w:rPr>
      </w:pPr>
      <w:r>
        <w:rPr>
          <w:rFonts w:eastAsia="Segoe UI" w:cs="Arial"/>
          <w:b/>
        </w:rPr>
        <w:t xml:space="preserve">9 </w:t>
      </w:r>
      <w:r>
        <w:rPr>
          <w:rFonts w:eastAsia="Segoe UI" w:cs="Arial"/>
        </w:rPr>
        <w:t>“You must not oppress a foreign resident. You know how it feels to be a foreigner,</w:t>
      </w:r>
      <w:r w:rsidR="00C765B7">
        <w:rPr>
          <w:rStyle w:val="FootnoteReference"/>
          <w:rFonts w:eastAsia="Segoe UI" w:cs="Arial"/>
        </w:rPr>
        <w:footnoteReference w:id="5"/>
      </w:r>
      <w:r>
        <w:rPr>
          <w:rFonts w:eastAsia="Segoe UI" w:cs="Arial"/>
        </w:rPr>
        <w:t xml:space="preserve"> because you were foreign residents in the land of Egypt.</w:t>
      </w:r>
      <w:r w:rsidR="00C765B7">
        <w:rPr>
          <w:rStyle w:val="EndnoteReference"/>
          <w:rFonts w:eastAsia="Segoe UI" w:cs="Arial"/>
        </w:rPr>
        <w:endnoteReference w:id="9"/>
      </w:r>
    </w:p>
    <w:p w:rsidR="00506CBF" w:rsidRDefault="00506CBF" w:rsidP="00506CBF">
      <w:pPr>
        <w:rPr>
          <w:rFonts w:eastAsia="Segoe UI" w:cs="Arial"/>
        </w:rPr>
      </w:pPr>
      <w:r>
        <w:rPr>
          <w:rFonts w:eastAsia="Segoe UI" w:cs="Arial"/>
          <w:b/>
        </w:rPr>
        <w:t xml:space="preserve">10 </w:t>
      </w:r>
      <w:r>
        <w:rPr>
          <w:rFonts w:eastAsia="Segoe UI" w:cs="Arial"/>
        </w:rPr>
        <w:t>“You are to sow your land with seed and gather its produce for six years.</w:t>
      </w:r>
      <w:r w:rsidR="00C765B7">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11 </w:t>
      </w:r>
      <w:r>
        <w:rPr>
          <w:rFonts w:eastAsia="Segoe UI" w:cs="Arial"/>
        </w:rPr>
        <w:t>But the seventh year you should leave it uncultivated and let it lie fallow, and the poor among your people will eat of it, and what they leave, the wild animals of the field will eat. That is what you should do with your vineyard and your olive grove.</w:t>
      </w:r>
    </w:p>
    <w:p w:rsidR="00506CBF" w:rsidRDefault="00506CBF" w:rsidP="00506CBF">
      <w:pPr>
        <w:rPr>
          <w:rFonts w:ascii="MEPS Bookman WTS" w:eastAsia="Segoe UI" w:hAnsi="MEPS Bookman WTS" w:cs="Segoe UI"/>
        </w:rPr>
      </w:pPr>
      <w:r>
        <w:rPr>
          <w:rFonts w:eastAsia="Segoe UI" w:cs="Arial"/>
          <w:b/>
        </w:rPr>
        <w:t xml:space="preserve">12 </w:t>
      </w:r>
      <w:r>
        <w:rPr>
          <w:rFonts w:eastAsia="Segoe UI" w:cs="Arial"/>
        </w:rPr>
        <w:t>“Six days you are to do your work; but on the seventh day, you are to cease from your labor, in order that your bull and your donkey may rest and the son of your slave girl and the foreign resident may refresh themselves.</w:t>
      </w:r>
      <w:r w:rsidR="00C765B7">
        <w:rPr>
          <w:rStyle w:val="EndnoteReference"/>
          <w:rFonts w:eastAsia="Segoe UI" w:cs="Arial"/>
        </w:rPr>
        <w:endnoteReference w:id="11"/>
      </w:r>
    </w:p>
    <w:p w:rsidR="00506CBF" w:rsidRDefault="00506CBF" w:rsidP="00506CBF">
      <w:pPr>
        <w:rPr>
          <w:rFonts w:ascii="MEPS Bookman WTS" w:eastAsia="Segoe UI" w:hAnsi="MEPS Bookman WTS" w:cs="Segoe UI"/>
        </w:rPr>
      </w:pPr>
      <w:r>
        <w:rPr>
          <w:rFonts w:eastAsia="Segoe UI" w:cs="Arial"/>
          <w:b/>
        </w:rPr>
        <w:t xml:space="preserve">13 </w:t>
      </w:r>
      <w:r>
        <w:rPr>
          <w:rFonts w:eastAsia="Segoe UI" w:cs="Arial"/>
        </w:rPr>
        <w:t>“You must be careful to do all that I have said to you,</w:t>
      </w:r>
      <w:r w:rsidR="00C765B7">
        <w:rPr>
          <w:rStyle w:val="EndnoteReference"/>
          <w:rFonts w:eastAsia="Segoe UI" w:cs="Arial"/>
        </w:rPr>
        <w:endnoteReference w:id="12"/>
      </w:r>
      <w:r>
        <w:rPr>
          <w:rFonts w:eastAsia="Segoe UI" w:cs="Arial"/>
        </w:rPr>
        <w:t xml:space="preserve"> and you must not mention the names of other gods; they should not be heard on your lips.</w:t>
      </w:r>
      <w:r w:rsidR="00C765B7">
        <w:rPr>
          <w:rStyle w:val="FootnoteReference"/>
          <w:rFonts w:eastAsia="Segoe UI" w:cs="Arial"/>
        </w:rPr>
        <w:footnoteReference w:id="6"/>
      </w:r>
      <w:r w:rsidR="00C765B7">
        <w:rPr>
          <w:rStyle w:val="EndnoteReference"/>
          <w:rFonts w:eastAsia="Segoe UI" w:cs="Arial"/>
        </w:rPr>
        <w:endnoteReference w:id="13"/>
      </w:r>
    </w:p>
    <w:p w:rsidR="00506CBF" w:rsidRDefault="00506CBF" w:rsidP="00506CBF">
      <w:pPr>
        <w:rPr>
          <w:rFonts w:ascii="MEPS Bookman WTS" w:eastAsia="Segoe UI" w:hAnsi="MEPS Bookman WTS" w:cs="Segoe UI"/>
        </w:rPr>
      </w:pPr>
      <w:r>
        <w:rPr>
          <w:rFonts w:eastAsia="Segoe UI" w:cs="Arial"/>
          <w:b/>
        </w:rPr>
        <w:t xml:space="preserve">14 </w:t>
      </w:r>
      <w:r>
        <w:rPr>
          <w:rFonts w:eastAsia="Segoe UI" w:cs="Arial"/>
        </w:rPr>
        <w:t>“Three times a year you are to celebrate a festival to me.</w:t>
      </w:r>
      <w:r w:rsidR="00C765B7">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15 </w:t>
      </w:r>
      <w:r>
        <w:rPr>
          <w:rFonts w:eastAsia="Segoe UI" w:cs="Arial"/>
        </w:rPr>
        <w:t>You will observe the Festival of Unleavened Bread.</w:t>
      </w:r>
      <w:r w:rsidR="00C765B7">
        <w:rPr>
          <w:rStyle w:val="EndnoteReference"/>
          <w:rFonts w:eastAsia="Segoe UI" w:cs="Arial"/>
        </w:rPr>
        <w:endnoteReference w:id="15"/>
      </w:r>
      <w:r>
        <w:rPr>
          <w:rFonts w:eastAsia="Segoe UI" w:cs="Arial"/>
        </w:rPr>
        <w:t xml:space="preserve"> You will eat unleavened bread for seven days, just as I have commanded you, at the appointed time in the month of A′bib,</w:t>
      </w:r>
      <w:r w:rsidR="00C765B7">
        <w:rPr>
          <w:rStyle w:val="FootnoteReference"/>
          <w:rFonts w:eastAsia="Segoe UI" w:cs="Arial"/>
        </w:rPr>
        <w:footnoteReference w:id="7"/>
      </w:r>
      <w:r w:rsidR="00C765B7">
        <w:rPr>
          <w:rStyle w:val="EndnoteReference"/>
          <w:rFonts w:eastAsia="Segoe UI" w:cs="Arial"/>
        </w:rPr>
        <w:endnoteReference w:id="16"/>
      </w:r>
      <w:r>
        <w:rPr>
          <w:rFonts w:eastAsia="Segoe UI" w:cs="Arial"/>
        </w:rPr>
        <w:t xml:space="preserve"> for at that time you came out of Egypt. No one is to appear before me empty-handed.</w:t>
      </w:r>
      <w:r w:rsidR="00C765B7">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16 </w:t>
      </w:r>
      <w:r>
        <w:rPr>
          <w:rFonts w:eastAsia="Segoe UI" w:cs="Arial"/>
        </w:rPr>
        <w:t>Also, you are to observe the Festival of Harvest</w:t>
      </w:r>
      <w:r w:rsidR="00C765B7">
        <w:rPr>
          <w:rStyle w:val="FootnoteReference"/>
          <w:rFonts w:eastAsia="Segoe UI" w:cs="Arial"/>
        </w:rPr>
        <w:footnoteReference w:id="8"/>
      </w:r>
      <w:r>
        <w:rPr>
          <w:rFonts w:eastAsia="Segoe UI" w:cs="Arial"/>
        </w:rPr>
        <w:t xml:space="preserve"> of the first ripe fruits of your labors, of what you sow in the field;</w:t>
      </w:r>
      <w:r w:rsidR="00C765B7">
        <w:rPr>
          <w:rStyle w:val="EndnoteReference"/>
          <w:rFonts w:eastAsia="Segoe UI" w:cs="Arial"/>
        </w:rPr>
        <w:endnoteReference w:id="18"/>
      </w:r>
      <w:r>
        <w:rPr>
          <w:rFonts w:eastAsia="Segoe UI" w:cs="Arial"/>
        </w:rPr>
        <w:t xml:space="preserve"> and the Festival of Ingathering</w:t>
      </w:r>
      <w:r w:rsidR="00C765B7">
        <w:rPr>
          <w:rStyle w:val="FootnoteReference"/>
          <w:rFonts w:eastAsia="Segoe UI" w:cs="Arial"/>
        </w:rPr>
        <w:footnoteReference w:id="9"/>
      </w:r>
      <w:r>
        <w:rPr>
          <w:rFonts w:eastAsia="Segoe UI" w:cs="Arial"/>
        </w:rPr>
        <w:t xml:space="preserve"> at the end of the year, when you gather in from the field the results of your labors.</w:t>
      </w:r>
      <w:r w:rsidR="00C765B7">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17 </w:t>
      </w:r>
      <w:r>
        <w:rPr>
          <w:rFonts w:eastAsia="Segoe UI" w:cs="Arial"/>
        </w:rPr>
        <w:t>Three times a year all your men</w:t>
      </w:r>
      <w:r w:rsidR="00C765B7">
        <w:rPr>
          <w:rStyle w:val="FootnoteReference"/>
          <w:rFonts w:eastAsia="Segoe UI" w:cs="Arial"/>
        </w:rPr>
        <w:footnoteReference w:id="10"/>
      </w:r>
      <w:r>
        <w:rPr>
          <w:rFonts w:eastAsia="Segoe UI" w:cs="Arial"/>
        </w:rPr>
        <w:t xml:space="preserve"> are to appear before the true Lord, Jehovah.</w:t>
      </w:r>
      <w:r w:rsidR="00C765B7">
        <w:rPr>
          <w:rStyle w:val="EndnoteReference"/>
          <w:rFonts w:eastAsia="Segoe UI" w:cs="Arial"/>
        </w:rPr>
        <w:endnoteReference w:id="20"/>
      </w:r>
    </w:p>
    <w:p w:rsidR="00506CBF" w:rsidRDefault="00506CBF" w:rsidP="00506CBF">
      <w:pPr>
        <w:rPr>
          <w:rFonts w:eastAsia="Segoe UI" w:cs="Arial"/>
        </w:rPr>
      </w:pPr>
      <w:r>
        <w:rPr>
          <w:rFonts w:eastAsia="Segoe UI" w:cs="Arial"/>
          <w:b/>
        </w:rPr>
        <w:t xml:space="preserve">18 </w:t>
      </w:r>
      <w:r>
        <w:rPr>
          <w:rFonts w:eastAsia="Segoe UI" w:cs="Arial"/>
        </w:rPr>
        <w:t>“You must not offer the blood of my sacrifice with anything leavened. And the sacrifices of fat offered at my festivals should not stay overnight until the morning.</w:t>
      </w:r>
    </w:p>
    <w:p w:rsidR="00506CBF" w:rsidRDefault="00506CBF" w:rsidP="00506CBF">
      <w:pPr>
        <w:rPr>
          <w:rFonts w:ascii="MEPS Bookman WTS" w:eastAsia="Segoe UI" w:hAnsi="MEPS Bookman WTS" w:cs="Segoe UI"/>
        </w:rPr>
      </w:pPr>
      <w:r>
        <w:rPr>
          <w:rFonts w:eastAsia="Segoe UI" w:cs="Arial"/>
          <w:b/>
        </w:rPr>
        <w:t xml:space="preserve">19 </w:t>
      </w:r>
      <w:r>
        <w:rPr>
          <w:rFonts w:eastAsia="Segoe UI" w:cs="Arial"/>
        </w:rPr>
        <w:t>“You are to bring the best of the first ripe fruits of your ground to the house of Jehovah your God.</w:t>
      </w:r>
      <w:r w:rsidR="00C765B7">
        <w:rPr>
          <w:rStyle w:val="EndnoteReference"/>
          <w:rFonts w:eastAsia="Segoe UI" w:cs="Arial"/>
        </w:rPr>
        <w:endnoteReference w:id="21"/>
      </w:r>
    </w:p>
    <w:p w:rsidR="00506CBF" w:rsidRDefault="00506CBF" w:rsidP="00506CBF">
      <w:pPr>
        <w:rPr>
          <w:rFonts w:ascii="MEPS Bookman WTS" w:eastAsia="Segoe UI" w:hAnsi="MEPS Bookman WTS" w:cs="Segoe UI"/>
        </w:rPr>
      </w:pPr>
      <w:r>
        <w:rPr>
          <w:rFonts w:eastAsia="Segoe UI" w:cs="Arial"/>
        </w:rPr>
        <w:t>“You must not boil a young goat in its mother’s milk.</w:t>
      </w:r>
      <w:r w:rsidR="00C765B7">
        <w:rPr>
          <w:rStyle w:val="EndnoteReference"/>
          <w:rFonts w:eastAsia="Segoe UI" w:cs="Arial"/>
        </w:rPr>
        <w:endnoteReference w:id="22"/>
      </w:r>
    </w:p>
    <w:p w:rsidR="00506CBF" w:rsidRDefault="00506CBF" w:rsidP="00506CBF">
      <w:pPr>
        <w:rPr>
          <w:rFonts w:ascii="MEPS Bookman WTS" w:eastAsia="Segoe UI" w:hAnsi="MEPS Bookman WTS" w:cs="Segoe UI"/>
        </w:rPr>
      </w:pPr>
      <w:r>
        <w:rPr>
          <w:rFonts w:eastAsia="Segoe UI" w:cs="Arial"/>
          <w:b/>
        </w:rPr>
        <w:t xml:space="preserve">20 </w:t>
      </w:r>
      <w:r>
        <w:rPr>
          <w:rFonts w:eastAsia="Segoe UI" w:cs="Arial"/>
        </w:rPr>
        <w:t>“I am sending an angel ahead of you</w:t>
      </w:r>
      <w:r w:rsidR="00C765B7">
        <w:rPr>
          <w:rStyle w:val="EndnoteReference"/>
          <w:rFonts w:eastAsia="Segoe UI" w:cs="Arial"/>
        </w:rPr>
        <w:endnoteReference w:id="23"/>
      </w:r>
      <w:r>
        <w:rPr>
          <w:rFonts w:eastAsia="Segoe UI" w:cs="Arial"/>
        </w:rPr>
        <w:t xml:space="preserve"> to guard you on the way and to bring you into the place that I have prepared.</w:t>
      </w:r>
      <w:r w:rsidR="00C765B7">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21 </w:t>
      </w:r>
      <w:r>
        <w:rPr>
          <w:rFonts w:eastAsia="Segoe UI" w:cs="Arial"/>
        </w:rPr>
        <w:t>Pay attention to him, and obey his voice. Do not rebel against him, for he will not pardon your transgressions,</w:t>
      </w:r>
      <w:r w:rsidR="00C765B7">
        <w:rPr>
          <w:rStyle w:val="EndnoteReference"/>
          <w:rFonts w:eastAsia="Segoe UI" w:cs="Arial"/>
        </w:rPr>
        <w:endnoteReference w:id="25"/>
      </w:r>
      <w:r>
        <w:rPr>
          <w:rFonts w:eastAsia="Segoe UI" w:cs="Arial"/>
        </w:rPr>
        <w:t xml:space="preserve"> because my name is in him. </w:t>
      </w:r>
      <w:r>
        <w:rPr>
          <w:rFonts w:eastAsia="Segoe UI" w:cs="Arial"/>
          <w:b/>
        </w:rPr>
        <w:t xml:space="preserve">22 </w:t>
      </w:r>
      <w:r>
        <w:rPr>
          <w:rFonts w:eastAsia="Segoe UI" w:cs="Arial"/>
        </w:rPr>
        <w:t xml:space="preserve">However, if you strictly obey his voice and do all that I say, I will show hostility to your enemies and oppose those who oppose you. </w:t>
      </w:r>
      <w:r>
        <w:rPr>
          <w:rFonts w:eastAsia="Segoe UI" w:cs="Arial"/>
          <w:b/>
        </w:rPr>
        <w:t xml:space="preserve">23 </w:t>
      </w:r>
      <w:r>
        <w:rPr>
          <w:rFonts w:eastAsia="Segoe UI" w:cs="Arial"/>
        </w:rPr>
        <w:t>For my angel will go ahead of you and will bring you to the Am′or·ites, the Hit′tites, the Per′iz·zites, the Ca′naan·ites, the Hi′vites, and the Jeb′u·sites, and I will annihilate them.</w:t>
      </w:r>
      <w:r w:rsidR="00C765B7">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24 </w:t>
      </w:r>
      <w:r>
        <w:rPr>
          <w:rFonts w:eastAsia="Segoe UI" w:cs="Arial"/>
        </w:rPr>
        <w:t>You must not bow down to their gods or be persuaded to serve them, and you must not imitate their practices.</w:t>
      </w:r>
      <w:r w:rsidR="00C765B7">
        <w:rPr>
          <w:rStyle w:val="EndnoteReference"/>
          <w:rFonts w:eastAsia="Segoe UI" w:cs="Arial"/>
        </w:rPr>
        <w:endnoteReference w:id="27"/>
      </w:r>
      <w:r>
        <w:rPr>
          <w:rFonts w:eastAsia="Segoe UI" w:cs="Arial"/>
        </w:rPr>
        <w:t xml:space="preserve"> Instead, you must demolish them and smash their sacred pillars.</w:t>
      </w:r>
      <w:r w:rsidR="00C765B7">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25 </w:t>
      </w:r>
      <w:r>
        <w:rPr>
          <w:rFonts w:eastAsia="Segoe UI" w:cs="Arial"/>
        </w:rPr>
        <w:t>You must serve Jehovah your God,</w:t>
      </w:r>
      <w:r w:rsidR="00C765B7">
        <w:rPr>
          <w:rStyle w:val="EndnoteReference"/>
          <w:rFonts w:eastAsia="Segoe UI" w:cs="Arial"/>
        </w:rPr>
        <w:endnoteReference w:id="29"/>
      </w:r>
      <w:r>
        <w:rPr>
          <w:rFonts w:eastAsia="Segoe UI" w:cs="Arial"/>
        </w:rPr>
        <w:t xml:space="preserve"> and he will bless your bread and your water.</w:t>
      </w:r>
      <w:r w:rsidR="00C765B7">
        <w:rPr>
          <w:rStyle w:val="EndnoteReference"/>
          <w:rFonts w:eastAsia="Segoe UI" w:cs="Arial"/>
        </w:rPr>
        <w:endnoteReference w:id="30"/>
      </w:r>
      <w:r>
        <w:rPr>
          <w:rFonts w:eastAsia="Segoe UI" w:cs="Arial"/>
        </w:rPr>
        <w:t xml:space="preserve"> I will remove sickness from among you.</w:t>
      </w:r>
      <w:r w:rsidR="00C765B7">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26 </w:t>
      </w:r>
      <w:r>
        <w:rPr>
          <w:rFonts w:eastAsia="Segoe UI" w:cs="Arial"/>
        </w:rPr>
        <w:t>The women in your land will not suffer a miscarriage or be barren,</w:t>
      </w:r>
      <w:r w:rsidR="00C765B7">
        <w:rPr>
          <w:rStyle w:val="EndnoteReference"/>
          <w:rFonts w:eastAsia="Segoe UI" w:cs="Arial"/>
        </w:rPr>
        <w:endnoteReference w:id="32"/>
      </w:r>
      <w:r>
        <w:rPr>
          <w:rFonts w:eastAsia="Segoe UI" w:cs="Arial"/>
        </w:rPr>
        <w:t xml:space="preserve"> and I will give you a full life span.</w:t>
      </w:r>
      <w:r w:rsidR="00C765B7">
        <w:rPr>
          <w:rStyle w:val="FootnoteReference"/>
          <w:rFonts w:eastAsia="Segoe UI" w:cs="Arial"/>
        </w:rPr>
        <w:footnoteReference w:id="11"/>
      </w:r>
    </w:p>
    <w:p w:rsidR="00506CBF" w:rsidRDefault="00506CBF" w:rsidP="00506CBF">
      <w:pPr>
        <w:rPr>
          <w:rFonts w:ascii="MEPS Bookman WTS" w:eastAsia="Segoe UI" w:hAnsi="MEPS Bookman WTS" w:cs="Segoe UI"/>
        </w:rPr>
      </w:pPr>
      <w:r>
        <w:rPr>
          <w:rFonts w:eastAsia="Segoe UI" w:cs="Arial"/>
          <w:b/>
        </w:rPr>
        <w:t xml:space="preserve">27 </w:t>
      </w:r>
      <w:r>
        <w:rPr>
          <w:rFonts w:eastAsia="Segoe UI" w:cs="Arial"/>
        </w:rPr>
        <w:t>“I will send the fear of me ahead of you,</w:t>
      </w:r>
      <w:r w:rsidR="00C765B7">
        <w:rPr>
          <w:rStyle w:val="EndnoteReference"/>
          <w:rFonts w:eastAsia="Segoe UI" w:cs="Arial"/>
        </w:rPr>
        <w:endnoteReference w:id="33"/>
      </w:r>
      <w:r>
        <w:rPr>
          <w:rFonts w:eastAsia="Segoe UI" w:cs="Arial"/>
        </w:rPr>
        <w:t xml:space="preserve"> and I will throw into confusion all the people you encounter, and I will cause all your enemies to flee from you in defeat.</w:t>
      </w:r>
      <w:r w:rsidR="00C765B7">
        <w:rPr>
          <w:rStyle w:val="FootnoteReference"/>
          <w:rFonts w:eastAsia="Segoe UI" w:cs="Arial"/>
        </w:rPr>
        <w:footnoteReference w:id="12"/>
      </w:r>
      <w:r w:rsidR="00C765B7">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28 </w:t>
      </w:r>
      <w:r>
        <w:rPr>
          <w:rFonts w:eastAsia="Segoe UI" w:cs="Arial"/>
        </w:rPr>
        <w:t>I will send the feeling of dejection</w:t>
      </w:r>
      <w:r w:rsidR="00C765B7">
        <w:rPr>
          <w:rStyle w:val="FootnoteReference"/>
          <w:rFonts w:eastAsia="Segoe UI" w:cs="Arial"/>
        </w:rPr>
        <w:footnoteReference w:id="13"/>
      </w:r>
      <w:r>
        <w:rPr>
          <w:rFonts w:eastAsia="Segoe UI" w:cs="Arial"/>
        </w:rPr>
        <w:t xml:space="preserve"> ahead of you,</w:t>
      </w:r>
      <w:r w:rsidR="00C765B7">
        <w:rPr>
          <w:rStyle w:val="EndnoteReference"/>
          <w:rFonts w:eastAsia="Segoe UI" w:cs="Arial"/>
        </w:rPr>
        <w:endnoteReference w:id="35"/>
      </w:r>
      <w:r>
        <w:rPr>
          <w:rFonts w:eastAsia="Segoe UI" w:cs="Arial"/>
        </w:rPr>
        <w:t xml:space="preserve"> and it will drive the Hi′vites, the Ca′naan·ites, and the Hit′tites out from before you.</w:t>
      </w:r>
      <w:r w:rsidR="00C765B7">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29 </w:t>
      </w:r>
      <w:r>
        <w:rPr>
          <w:rFonts w:eastAsia="Segoe UI" w:cs="Arial"/>
        </w:rPr>
        <w:t>I will not drive them out from before you in one year, so that the land does not become desolate and the wild animals of the field multiply against you.</w:t>
      </w:r>
      <w:r w:rsidR="00C765B7">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30 </w:t>
      </w:r>
      <w:r>
        <w:rPr>
          <w:rFonts w:eastAsia="Segoe UI" w:cs="Arial"/>
        </w:rPr>
        <w:t>Little by little I will drive them out from before you, until you become fruitful and take possession of the land.</w:t>
      </w:r>
      <w:r w:rsidR="00C765B7">
        <w:rPr>
          <w:rStyle w:val="EndnoteReference"/>
          <w:rFonts w:eastAsia="Segoe UI" w:cs="Arial"/>
        </w:rPr>
        <w:endnoteReference w:id="38"/>
      </w:r>
    </w:p>
    <w:p w:rsidR="00506CBF" w:rsidRDefault="00506CBF" w:rsidP="00506CBF">
      <w:pPr>
        <w:rPr>
          <w:rFonts w:ascii="MEPS Bookman WTS" w:eastAsia="Segoe UI" w:hAnsi="MEPS Bookman WTS" w:cs="Segoe UI"/>
        </w:rPr>
      </w:pPr>
      <w:r>
        <w:rPr>
          <w:rFonts w:eastAsia="Segoe UI" w:cs="Arial"/>
          <w:b/>
        </w:rPr>
        <w:t xml:space="preserve">31 </w:t>
      </w:r>
      <w:r>
        <w:rPr>
          <w:rFonts w:eastAsia="Segoe UI" w:cs="Arial"/>
        </w:rPr>
        <w:t>“I will set your boundary from the Red Sea to the sea of the Phi·lis′tines and from the wilderness to the River;</w:t>
      </w:r>
      <w:r w:rsidR="00C765B7">
        <w:rPr>
          <w:rStyle w:val="FootnoteReference"/>
          <w:rFonts w:eastAsia="Segoe UI" w:cs="Arial"/>
        </w:rPr>
        <w:footnoteReference w:id="14"/>
      </w:r>
      <w:r w:rsidR="00C765B7">
        <w:rPr>
          <w:rStyle w:val="EndnoteReference"/>
          <w:rFonts w:eastAsia="Segoe UI" w:cs="Arial"/>
        </w:rPr>
        <w:endnoteReference w:id="39"/>
      </w:r>
      <w:r>
        <w:rPr>
          <w:rFonts w:eastAsia="Segoe UI" w:cs="Arial"/>
        </w:rPr>
        <w:t xml:space="preserve"> for I will give the inhabitants of the land into your hand, and you will drive them out from before you.</w:t>
      </w:r>
      <w:r w:rsidR="00C765B7">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32 </w:t>
      </w:r>
      <w:r>
        <w:rPr>
          <w:rFonts w:eastAsia="Segoe UI" w:cs="Arial"/>
        </w:rPr>
        <w:t>You must not make a covenant with them or their gods.</w:t>
      </w:r>
      <w:r w:rsidR="00C765B7">
        <w:rPr>
          <w:rStyle w:val="EndnoteReference"/>
          <w:rFonts w:eastAsia="Segoe UI" w:cs="Arial"/>
        </w:rPr>
        <w:endnoteReference w:id="41"/>
      </w:r>
      <w:r>
        <w:rPr>
          <w:rFonts w:ascii="MEPS Bookman WTS" w:eastAsia="Segoe UI" w:hAnsi="MEPS Bookman WTS" w:cs="Segoe UI"/>
        </w:rPr>
        <w:t xml:space="preserve"> </w:t>
      </w:r>
      <w:r>
        <w:rPr>
          <w:rFonts w:eastAsia="Segoe UI" w:cs="Arial"/>
          <w:b/>
        </w:rPr>
        <w:t xml:space="preserve">33 </w:t>
      </w:r>
      <w:r>
        <w:rPr>
          <w:rFonts w:eastAsia="Segoe UI" w:cs="Arial"/>
        </w:rPr>
        <w:t>They should not dwell in your land, so that they may not cause you to sin against me. If you should serve their gods, it would surely become a snare to you.”</w:t>
      </w:r>
      <w:r w:rsidR="00C765B7">
        <w:rPr>
          <w:rStyle w:val="EndnoteReference"/>
          <w:rFonts w:eastAsia="Segoe UI" w:cs="Arial"/>
        </w:rPr>
        <w:endnoteReference w:id="42"/>
      </w:r>
    </w:p>
    <w:p w:rsidR="00762BCB" w:rsidRPr="00506CBF" w:rsidRDefault="00762BCB" w:rsidP="00506CBF"/>
    <w:sectPr w:rsidR="00762BCB" w:rsidRPr="00506CBF"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62EA" w:rsidRDefault="004F62EA">
      <w:r>
        <w:separator/>
      </w:r>
    </w:p>
  </w:endnote>
  <w:endnote w:type="continuationSeparator" w:id="0">
    <w:p w:rsidR="004F62EA" w:rsidRDefault="004F62EA">
      <w:r>
        <w:continuationSeparator/>
      </w:r>
    </w:p>
  </w:endnote>
  <w:endnote w:id="1">
    <w:p w:rsidR="00C765B7" w:rsidRDefault="00C765B7">
      <w:pPr>
        <w:pStyle w:val="EndnoteText"/>
      </w:pPr>
      <w:r>
        <w:rPr>
          <w:rStyle w:val="EndnoteReference"/>
        </w:rPr>
        <w:endnoteRef/>
      </w:r>
      <w:r>
        <w:t xml:space="preserve"> Leviticus 19:16; Proverbs 6:16, 19</w:t>
      </w:r>
    </w:p>
  </w:endnote>
  <w:endnote w:id="2">
    <w:p w:rsidR="00C765B7" w:rsidRDefault="00C765B7">
      <w:pPr>
        <w:pStyle w:val="EndnoteText"/>
      </w:pPr>
      <w:r>
        <w:rPr>
          <w:rStyle w:val="EndnoteReference"/>
        </w:rPr>
        <w:endnoteRef/>
      </w:r>
      <w:r>
        <w:t xml:space="preserve"> Deuteronomy 19:18, 19; Proverbs 19:5</w:t>
      </w:r>
    </w:p>
  </w:endnote>
  <w:endnote w:id="3">
    <w:p w:rsidR="00C765B7" w:rsidRDefault="00C765B7">
      <w:pPr>
        <w:pStyle w:val="EndnoteText"/>
      </w:pPr>
      <w:r>
        <w:rPr>
          <w:rStyle w:val="EndnoteReference"/>
        </w:rPr>
        <w:endnoteRef/>
      </w:r>
      <w:r>
        <w:t xml:space="preserve"> Leviticus 19:15</w:t>
      </w:r>
    </w:p>
  </w:endnote>
  <w:endnote w:id="4">
    <w:p w:rsidR="00C765B7" w:rsidRDefault="00C765B7">
      <w:pPr>
        <w:pStyle w:val="EndnoteText"/>
      </w:pPr>
      <w:r>
        <w:rPr>
          <w:rStyle w:val="EndnoteReference"/>
        </w:rPr>
        <w:endnoteRef/>
      </w:r>
      <w:r>
        <w:t xml:space="preserve"> Proverbs 25:21; 1 Thessalonians 5:15</w:t>
      </w:r>
    </w:p>
  </w:endnote>
  <w:endnote w:id="5">
    <w:p w:rsidR="00C765B7" w:rsidRDefault="00C765B7">
      <w:pPr>
        <w:pStyle w:val="EndnoteText"/>
      </w:pPr>
      <w:r>
        <w:rPr>
          <w:rStyle w:val="EndnoteReference"/>
        </w:rPr>
        <w:endnoteRef/>
      </w:r>
      <w:r>
        <w:t xml:space="preserve"> Deuteronomy 22:4; Luke 6:27; Romans 12:21</w:t>
      </w:r>
    </w:p>
  </w:endnote>
  <w:endnote w:id="6">
    <w:p w:rsidR="00C765B7" w:rsidRDefault="00C765B7">
      <w:pPr>
        <w:pStyle w:val="EndnoteText"/>
      </w:pPr>
      <w:r>
        <w:rPr>
          <w:rStyle w:val="EndnoteReference"/>
        </w:rPr>
        <w:endnoteRef/>
      </w:r>
      <w:r>
        <w:t xml:space="preserve"> Deuteronomy 16:19; 2 Chronicles 19:7</w:t>
      </w:r>
    </w:p>
  </w:endnote>
  <w:endnote w:id="7">
    <w:p w:rsidR="00C765B7" w:rsidRDefault="00C765B7">
      <w:pPr>
        <w:pStyle w:val="EndnoteText"/>
      </w:pPr>
      <w:r>
        <w:rPr>
          <w:rStyle w:val="EndnoteReference"/>
        </w:rPr>
        <w:endnoteRef/>
      </w:r>
      <w:r>
        <w:t xml:space="preserve"> Proverbs 17:15; Romans 1:18; 2:6</w:t>
      </w:r>
    </w:p>
  </w:endnote>
  <w:endnote w:id="8">
    <w:p w:rsidR="00C765B7" w:rsidRDefault="00C765B7">
      <w:pPr>
        <w:pStyle w:val="EndnoteText"/>
      </w:pPr>
      <w:r>
        <w:rPr>
          <w:rStyle w:val="EndnoteReference"/>
        </w:rPr>
        <w:endnoteRef/>
      </w:r>
      <w:r>
        <w:t xml:space="preserve"> Ecclesiastes 7:7</w:t>
      </w:r>
    </w:p>
  </w:endnote>
  <w:endnote w:id="9">
    <w:p w:rsidR="00C765B7" w:rsidRDefault="00C765B7">
      <w:pPr>
        <w:pStyle w:val="EndnoteText"/>
      </w:pPr>
      <w:r>
        <w:rPr>
          <w:rStyle w:val="EndnoteReference"/>
        </w:rPr>
        <w:endnoteRef/>
      </w:r>
      <w:r>
        <w:t xml:space="preserve"> Leviticus 19:34</w:t>
      </w:r>
    </w:p>
  </w:endnote>
  <w:endnote w:id="10">
    <w:p w:rsidR="00C765B7" w:rsidRDefault="00C765B7">
      <w:pPr>
        <w:pStyle w:val="EndnoteText"/>
      </w:pPr>
      <w:r>
        <w:rPr>
          <w:rStyle w:val="EndnoteReference"/>
        </w:rPr>
        <w:endnoteRef/>
      </w:r>
      <w:r>
        <w:t xml:space="preserve"> Leviticus 25:3, 4</w:t>
      </w:r>
    </w:p>
  </w:endnote>
  <w:endnote w:id="11">
    <w:p w:rsidR="00C765B7" w:rsidRDefault="00C765B7">
      <w:pPr>
        <w:pStyle w:val="EndnoteText"/>
      </w:pPr>
      <w:r>
        <w:rPr>
          <w:rStyle w:val="EndnoteReference"/>
        </w:rPr>
        <w:endnoteRef/>
      </w:r>
      <w:r>
        <w:t xml:space="preserve"> Exodus 20:9, 10; Deuteronomy 5:14</w:t>
      </w:r>
    </w:p>
  </w:endnote>
  <w:endnote w:id="12">
    <w:p w:rsidR="00C765B7" w:rsidRDefault="00C765B7">
      <w:pPr>
        <w:pStyle w:val="EndnoteText"/>
      </w:pPr>
      <w:r>
        <w:rPr>
          <w:rStyle w:val="EndnoteReference"/>
        </w:rPr>
        <w:endnoteRef/>
      </w:r>
      <w:r>
        <w:t xml:space="preserve"> Deuteronomy 4:9</w:t>
      </w:r>
    </w:p>
  </w:endnote>
  <w:endnote w:id="13">
    <w:p w:rsidR="00C765B7" w:rsidRDefault="00C765B7">
      <w:pPr>
        <w:pStyle w:val="EndnoteText"/>
      </w:pPr>
      <w:r>
        <w:rPr>
          <w:rStyle w:val="EndnoteReference"/>
        </w:rPr>
        <w:endnoteRef/>
      </w:r>
      <w:r>
        <w:t xml:space="preserve"> Deuteronomy 12:3; Joshua 23:6, 7</w:t>
      </w:r>
    </w:p>
  </w:endnote>
  <w:endnote w:id="14">
    <w:p w:rsidR="00C765B7" w:rsidRDefault="00C765B7">
      <w:pPr>
        <w:pStyle w:val="EndnoteText"/>
      </w:pPr>
      <w:r>
        <w:rPr>
          <w:rStyle w:val="EndnoteReference"/>
        </w:rPr>
        <w:endnoteRef/>
      </w:r>
      <w:r>
        <w:t xml:space="preserve"> Deuteronomy 16:16</w:t>
      </w:r>
    </w:p>
  </w:endnote>
  <w:endnote w:id="15">
    <w:p w:rsidR="00C765B7" w:rsidRDefault="00C765B7">
      <w:pPr>
        <w:pStyle w:val="EndnoteText"/>
      </w:pPr>
      <w:r>
        <w:rPr>
          <w:rStyle w:val="EndnoteReference"/>
        </w:rPr>
        <w:endnoteRef/>
      </w:r>
      <w:r>
        <w:t xml:space="preserve"> Leviticus 23:6; Luke 22:7</w:t>
      </w:r>
    </w:p>
  </w:endnote>
  <w:endnote w:id="16">
    <w:p w:rsidR="00C765B7" w:rsidRDefault="00C765B7">
      <w:pPr>
        <w:pStyle w:val="EndnoteText"/>
      </w:pPr>
      <w:r>
        <w:rPr>
          <w:rStyle w:val="EndnoteReference"/>
        </w:rPr>
        <w:endnoteRef/>
      </w:r>
      <w:r>
        <w:t xml:space="preserve"> Exodus 12:18</w:t>
      </w:r>
    </w:p>
  </w:endnote>
  <w:endnote w:id="17">
    <w:p w:rsidR="00C765B7" w:rsidRDefault="00C765B7">
      <w:pPr>
        <w:pStyle w:val="EndnoteText"/>
      </w:pPr>
      <w:r>
        <w:rPr>
          <w:rStyle w:val="EndnoteReference"/>
        </w:rPr>
        <w:endnoteRef/>
      </w:r>
      <w:r>
        <w:t xml:space="preserve"> Deuteronomy 16:17</w:t>
      </w:r>
    </w:p>
  </w:endnote>
  <w:endnote w:id="18">
    <w:p w:rsidR="00C765B7" w:rsidRDefault="00C765B7">
      <w:pPr>
        <w:pStyle w:val="EndnoteText"/>
      </w:pPr>
      <w:r>
        <w:rPr>
          <w:rStyle w:val="EndnoteReference"/>
        </w:rPr>
        <w:endnoteRef/>
      </w:r>
      <w:r>
        <w:t xml:space="preserve"> Numbers 28:26; Deuteronomy 16:9, 10; Acts 2:1</w:t>
      </w:r>
    </w:p>
  </w:endnote>
  <w:endnote w:id="19">
    <w:p w:rsidR="00C765B7" w:rsidRDefault="00C765B7">
      <w:pPr>
        <w:pStyle w:val="EndnoteText"/>
      </w:pPr>
      <w:r>
        <w:rPr>
          <w:rStyle w:val="EndnoteReference"/>
        </w:rPr>
        <w:endnoteRef/>
      </w:r>
      <w:r>
        <w:t xml:space="preserve"> Deuteronomy 16:13; Nehemiah 8:14; John 7:2</w:t>
      </w:r>
    </w:p>
  </w:endnote>
  <w:endnote w:id="20">
    <w:p w:rsidR="00C765B7" w:rsidRDefault="00C765B7">
      <w:pPr>
        <w:pStyle w:val="EndnoteText"/>
      </w:pPr>
      <w:r>
        <w:rPr>
          <w:rStyle w:val="EndnoteReference"/>
        </w:rPr>
        <w:endnoteRef/>
      </w:r>
      <w:r>
        <w:t xml:space="preserve"> Deuteronomy 12:5, 6</w:t>
      </w:r>
    </w:p>
  </w:endnote>
  <w:endnote w:id="21">
    <w:p w:rsidR="00C765B7" w:rsidRDefault="00C765B7">
      <w:pPr>
        <w:pStyle w:val="EndnoteText"/>
      </w:pPr>
      <w:r>
        <w:rPr>
          <w:rStyle w:val="EndnoteReference"/>
        </w:rPr>
        <w:endnoteRef/>
      </w:r>
      <w:r>
        <w:t xml:space="preserve"> Numbers 18:8, 12; 1 Corinthians 15:20</w:t>
      </w:r>
    </w:p>
  </w:endnote>
  <w:endnote w:id="22">
    <w:p w:rsidR="00C765B7" w:rsidRDefault="00C765B7">
      <w:pPr>
        <w:pStyle w:val="EndnoteText"/>
      </w:pPr>
      <w:r>
        <w:rPr>
          <w:rStyle w:val="EndnoteReference"/>
        </w:rPr>
        <w:endnoteRef/>
      </w:r>
      <w:r>
        <w:t xml:space="preserve"> Deuteronomy 14:21; Proverbs 12:10</w:t>
      </w:r>
    </w:p>
  </w:endnote>
  <w:endnote w:id="23">
    <w:p w:rsidR="00C765B7" w:rsidRDefault="00C765B7">
      <w:pPr>
        <w:pStyle w:val="EndnoteText"/>
      </w:pPr>
      <w:r>
        <w:rPr>
          <w:rStyle w:val="EndnoteReference"/>
        </w:rPr>
        <w:endnoteRef/>
      </w:r>
      <w:r>
        <w:t xml:space="preserve"> Exodus 14:19</w:t>
      </w:r>
    </w:p>
  </w:endnote>
  <w:endnote w:id="24">
    <w:p w:rsidR="00C765B7" w:rsidRDefault="00C765B7">
      <w:pPr>
        <w:pStyle w:val="EndnoteText"/>
      </w:pPr>
      <w:r>
        <w:rPr>
          <w:rStyle w:val="EndnoteReference"/>
        </w:rPr>
        <w:endnoteRef/>
      </w:r>
      <w:r>
        <w:t xml:space="preserve"> Numbers 20:16</w:t>
      </w:r>
    </w:p>
  </w:endnote>
  <w:endnote w:id="25">
    <w:p w:rsidR="00C765B7" w:rsidRDefault="00C765B7">
      <w:pPr>
        <w:pStyle w:val="EndnoteText"/>
      </w:pPr>
      <w:r>
        <w:rPr>
          <w:rStyle w:val="EndnoteReference"/>
        </w:rPr>
        <w:endnoteRef/>
      </w:r>
      <w:r>
        <w:t xml:space="preserve"> Numbers 14:35; Joshua 24:19</w:t>
      </w:r>
    </w:p>
  </w:endnote>
  <w:endnote w:id="26">
    <w:p w:rsidR="00C765B7" w:rsidRDefault="00C765B7">
      <w:pPr>
        <w:pStyle w:val="EndnoteText"/>
      </w:pPr>
      <w:r>
        <w:rPr>
          <w:rStyle w:val="EndnoteReference"/>
        </w:rPr>
        <w:endnoteRef/>
      </w:r>
      <w:r>
        <w:t xml:space="preserve"> Exodus 34:11; Joshua 5:13, 14; 24:8</w:t>
      </w:r>
    </w:p>
  </w:endnote>
  <w:endnote w:id="27">
    <w:p w:rsidR="00C765B7" w:rsidRDefault="00C765B7">
      <w:pPr>
        <w:pStyle w:val="EndnoteText"/>
      </w:pPr>
      <w:r>
        <w:rPr>
          <w:rStyle w:val="EndnoteReference"/>
        </w:rPr>
        <w:endnoteRef/>
      </w:r>
      <w:r>
        <w:t xml:space="preserve"> Exodus 20:5; Leviticus 18:3; Deuteronomy 12:30; 2 Chronicles 33:2</w:t>
      </w:r>
    </w:p>
  </w:endnote>
  <w:endnote w:id="28">
    <w:p w:rsidR="00C765B7" w:rsidRDefault="00C765B7">
      <w:pPr>
        <w:pStyle w:val="EndnoteText"/>
      </w:pPr>
      <w:r>
        <w:rPr>
          <w:rStyle w:val="EndnoteReference"/>
        </w:rPr>
        <w:endnoteRef/>
      </w:r>
      <w:r>
        <w:t xml:space="preserve"> Exodus 20:3; Numbers 33:52</w:t>
      </w:r>
    </w:p>
  </w:endnote>
  <w:endnote w:id="29">
    <w:p w:rsidR="00C765B7" w:rsidRDefault="00C765B7">
      <w:pPr>
        <w:pStyle w:val="EndnoteText"/>
      </w:pPr>
      <w:r>
        <w:rPr>
          <w:rStyle w:val="EndnoteReference"/>
        </w:rPr>
        <w:endnoteRef/>
      </w:r>
      <w:r>
        <w:t xml:space="preserve"> Deuteronomy 6:13; 10:12; Joshua 22:5; Matthew 4:10</w:t>
      </w:r>
    </w:p>
  </w:endnote>
  <w:endnote w:id="30">
    <w:p w:rsidR="00C765B7" w:rsidRDefault="00C765B7">
      <w:pPr>
        <w:pStyle w:val="EndnoteText"/>
      </w:pPr>
      <w:r>
        <w:rPr>
          <w:rStyle w:val="EndnoteReference"/>
        </w:rPr>
        <w:endnoteRef/>
      </w:r>
      <w:r>
        <w:t xml:space="preserve"> Deuteronomy 7:13</w:t>
      </w:r>
    </w:p>
  </w:endnote>
  <w:endnote w:id="31">
    <w:p w:rsidR="00C765B7" w:rsidRDefault="00C765B7">
      <w:pPr>
        <w:pStyle w:val="EndnoteText"/>
      </w:pPr>
      <w:r>
        <w:rPr>
          <w:rStyle w:val="EndnoteReference"/>
        </w:rPr>
        <w:endnoteRef/>
      </w:r>
      <w:r>
        <w:t xml:space="preserve"> Deuteronomy 7:15</w:t>
      </w:r>
    </w:p>
  </w:endnote>
  <w:endnote w:id="32">
    <w:p w:rsidR="00C765B7" w:rsidRDefault="00C765B7">
      <w:pPr>
        <w:pStyle w:val="EndnoteText"/>
      </w:pPr>
      <w:r>
        <w:rPr>
          <w:rStyle w:val="EndnoteReference"/>
        </w:rPr>
        <w:endnoteRef/>
      </w:r>
      <w:r>
        <w:t xml:space="preserve"> Deuteronomy 7:14; 28:4</w:t>
      </w:r>
    </w:p>
  </w:endnote>
  <w:endnote w:id="33">
    <w:p w:rsidR="00C765B7" w:rsidRDefault="00C765B7">
      <w:pPr>
        <w:pStyle w:val="EndnoteText"/>
      </w:pPr>
      <w:r>
        <w:rPr>
          <w:rStyle w:val="EndnoteReference"/>
        </w:rPr>
        <w:endnoteRef/>
      </w:r>
      <w:r>
        <w:t xml:space="preserve"> Deuteronomy 2:25; Joshua 2:9</w:t>
      </w:r>
    </w:p>
  </w:endnote>
  <w:endnote w:id="34">
    <w:p w:rsidR="00C765B7" w:rsidRDefault="00C765B7">
      <w:pPr>
        <w:pStyle w:val="EndnoteText"/>
      </w:pPr>
      <w:r>
        <w:rPr>
          <w:rStyle w:val="EndnoteReference"/>
        </w:rPr>
        <w:endnoteRef/>
      </w:r>
      <w:r>
        <w:t xml:space="preserve"> Deuteronomy 7:23, 24</w:t>
      </w:r>
    </w:p>
  </w:endnote>
  <w:endnote w:id="35">
    <w:p w:rsidR="00C765B7" w:rsidRDefault="00C765B7">
      <w:pPr>
        <w:pStyle w:val="EndnoteText"/>
      </w:pPr>
      <w:r>
        <w:rPr>
          <w:rStyle w:val="EndnoteReference"/>
        </w:rPr>
        <w:endnoteRef/>
      </w:r>
      <w:r>
        <w:t xml:space="preserve"> Deuteronomy 7:20; Joshua 2:11</w:t>
      </w:r>
    </w:p>
  </w:endnote>
  <w:endnote w:id="36">
    <w:p w:rsidR="00C765B7" w:rsidRDefault="00C765B7">
      <w:pPr>
        <w:pStyle w:val="EndnoteText"/>
      </w:pPr>
      <w:r>
        <w:rPr>
          <w:rStyle w:val="EndnoteReference"/>
        </w:rPr>
        <w:endnoteRef/>
      </w:r>
      <w:r>
        <w:t xml:space="preserve"> Joshua 24:11</w:t>
      </w:r>
    </w:p>
  </w:endnote>
  <w:endnote w:id="37">
    <w:p w:rsidR="00C765B7" w:rsidRDefault="00C765B7">
      <w:pPr>
        <w:pStyle w:val="EndnoteText"/>
      </w:pPr>
      <w:r>
        <w:rPr>
          <w:rStyle w:val="EndnoteReference"/>
        </w:rPr>
        <w:endnoteRef/>
      </w:r>
      <w:r>
        <w:t xml:space="preserve"> Deuteronomy 7:22</w:t>
      </w:r>
    </w:p>
  </w:endnote>
  <w:endnote w:id="38">
    <w:p w:rsidR="00C765B7" w:rsidRDefault="00C765B7">
      <w:pPr>
        <w:pStyle w:val="EndnoteText"/>
      </w:pPr>
      <w:r>
        <w:rPr>
          <w:rStyle w:val="EndnoteReference"/>
        </w:rPr>
        <w:endnoteRef/>
      </w:r>
      <w:r>
        <w:t xml:space="preserve"> Deuteronomy 9:4</w:t>
      </w:r>
    </w:p>
  </w:endnote>
  <w:endnote w:id="39">
    <w:p w:rsidR="00C765B7" w:rsidRDefault="00C765B7">
      <w:pPr>
        <w:pStyle w:val="EndnoteText"/>
      </w:pPr>
      <w:r>
        <w:rPr>
          <w:rStyle w:val="EndnoteReference"/>
        </w:rPr>
        <w:endnoteRef/>
      </w:r>
      <w:r>
        <w:t xml:space="preserve"> Genesis 15:18; Deuteronomy 1:7; Joshua 1:4; 1 Kings 4:21</w:t>
      </w:r>
    </w:p>
  </w:endnote>
  <w:endnote w:id="40">
    <w:p w:rsidR="00C765B7" w:rsidRDefault="00C765B7">
      <w:pPr>
        <w:pStyle w:val="EndnoteText"/>
      </w:pPr>
      <w:r>
        <w:rPr>
          <w:rStyle w:val="EndnoteReference"/>
        </w:rPr>
        <w:endnoteRef/>
      </w:r>
      <w:r>
        <w:t xml:space="preserve"> Judges 1:4; 11:21</w:t>
      </w:r>
    </w:p>
  </w:endnote>
  <w:endnote w:id="41">
    <w:p w:rsidR="00C765B7" w:rsidRDefault="00C765B7">
      <w:pPr>
        <w:pStyle w:val="EndnoteText"/>
      </w:pPr>
      <w:r>
        <w:rPr>
          <w:rStyle w:val="EndnoteReference"/>
        </w:rPr>
        <w:endnoteRef/>
      </w:r>
      <w:r>
        <w:t xml:space="preserve"> Exodus 34:12; Numbers 25:1, 2; Deuteronomy 7:2; 2 Corinthians 6:14</w:t>
      </w:r>
    </w:p>
  </w:endnote>
  <w:endnote w:id="42">
    <w:p w:rsidR="00C765B7" w:rsidRDefault="00C765B7">
      <w:pPr>
        <w:pStyle w:val="EndnoteText"/>
      </w:pPr>
      <w:r>
        <w:rPr>
          <w:rStyle w:val="EndnoteReference"/>
        </w:rPr>
        <w:endnoteRef/>
      </w:r>
      <w:r>
        <w:t xml:space="preserve"> Joshua 23:12, 13; Judges 1:28; Psalms 106:36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62EA" w:rsidRDefault="004F62EA">
      <w:r>
        <w:separator/>
      </w:r>
    </w:p>
  </w:footnote>
  <w:footnote w:type="continuationSeparator" w:id="0">
    <w:p w:rsidR="004F62EA" w:rsidRDefault="004F62EA">
      <w:r>
        <w:continuationSeparator/>
      </w:r>
    </w:p>
  </w:footnote>
  <w:footnote w:id="1">
    <w:p w:rsidR="00C765B7" w:rsidRDefault="00C765B7">
      <w:pPr>
        <w:pStyle w:val="FootnoteText"/>
      </w:pPr>
      <w:r>
        <w:rPr>
          <w:rStyle w:val="FootnoteReference"/>
        </w:rPr>
        <w:footnoteRef/>
      </w:r>
      <w:r>
        <w:t xml:space="preserve"> </w:t>
      </w:r>
      <w:r>
        <w:t>Lit., “take up.”</w:t>
      </w:r>
    </w:p>
  </w:footnote>
  <w:footnote w:id="2">
    <w:p w:rsidR="00C765B7" w:rsidRDefault="00C765B7">
      <w:pPr>
        <w:pStyle w:val="FootnoteText"/>
      </w:pPr>
      <w:r>
        <w:rPr>
          <w:rStyle w:val="FootnoteReference"/>
        </w:rPr>
        <w:footnoteRef/>
      </w:r>
      <w:r>
        <w:t xml:space="preserve"> </w:t>
      </w:r>
      <w:r>
        <w:t>Or “testimony that is popular.”</w:t>
      </w:r>
    </w:p>
  </w:footnote>
  <w:footnote w:id="3">
    <w:p w:rsidR="00C765B7" w:rsidRDefault="00C765B7">
      <w:pPr>
        <w:pStyle w:val="FootnoteText"/>
      </w:pPr>
      <w:r>
        <w:rPr>
          <w:rStyle w:val="FootnoteReference"/>
        </w:rPr>
        <w:footnoteRef/>
      </w:r>
      <w:r>
        <w:t xml:space="preserve"> </w:t>
      </w:r>
      <w:r>
        <w:t>Lit., “word.”</w:t>
      </w:r>
    </w:p>
  </w:footnote>
  <w:footnote w:id="4">
    <w:p w:rsidR="00C765B7" w:rsidRDefault="00C765B7">
      <w:pPr>
        <w:pStyle w:val="FootnoteText"/>
      </w:pPr>
      <w:r>
        <w:rPr>
          <w:rStyle w:val="FootnoteReference"/>
        </w:rPr>
        <w:footnoteRef/>
      </w:r>
      <w:r>
        <w:t xml:space="preserve"> </w:t>
      </w:r>
      <w:r>
        <w:t>Or “acquit the wicked one.”</w:t>
      </w:r>
    </w:p>
  </w:footnote>
  <w:footnote w:id="5">
    <w:p w:rsidR="00C765B7" w:rsidRDefault="00C765B7">
      <w:pPr>
        <w:pStyle w:val="FootnoteText"/>
      </w:pPr>
      <w:r>
        <w:rPr>
          <w:rStyle w:val="FootnoteReference"/>
        </w:rPr>
        <w:footnoteRef/>
      </w:r>
      <w:r>
        <w:t xml:space="preserve"> </w:t>
      </w:r>
      <w:r>
        <w:t>Or “know the life (soul) of a foreigner.”</w:t>
      </w:r>
    </w:p>
  </w:footnote>
  <w:footnote w:id="6">
    <w:p w:rsidR="00C765B7" w:rsidRDefault="00C765B7">
      <w:pPr>
        <w:pStyle w:val="FootnoteText"/>
      </w:pPr>
      <w:r>
        <w:rPr>
          <w:rStyle w:val="FootnoteReference"/>
        </w:rPr>
        <w:footnoteRef/>
      </w:r>
      <w:r>
        <w:t xml:space="preserve"> </w:t>
      </w:r>
      <w:r>
        <w:t>Lit., “mouth.”</w:t>
      </w:r>
    </w:p>
  </w:footnote>
  <w:footnote w:id="7">
    <w:p w:rsidR="00C765B7" w:rsidRDefault="00C765B7">
      <w:pPr>
        <w:pStyle w:val="FootnoteText"/>
      </w:pPr>
      <w:r>
        <w:rPr>
          <w:rStyle w:val="FootnoteReference"/>
        </w:rPr>
        <w:footnoteRef/>
      </w:r>
      <w:r>
        <w:t xml:space="preserve"> </w:t>
      </w:r>
      <w:r>
        <w:t>See App. B15.</w:t>
      </w:r>
    </w:p>
  </w:footnote>
  <w:footnote w:id="8">
    <w:p w:rsidR="00C765B7" w:rsidRDefault="00C765B7">
      <w:pPr>
        <w:pStyle w:val="FootnoteText"/>
      </w:pPr>
      <w:r>
        <w:rPr>
          <w:rStyle w:val="FootnoteReference"/>
        </w:rPr>
        <w:footnoteRef/>
      </w:r>
      <w:r>
        <w:t xml:space="preserve"> </w:t>
      </w:r>
      <w:r>
        <w:t>Also known as the Festival of Weeks, or Pentecost.</w:t>
      </w:r>
    </w:p>
  </w:footnote>
  <w:footnote w:id="9">
    <w:p w:rsidR="00C765B7" w:rsidRDefault="00C765B7">
      <w:pPr>
        <w:pStyle w:val="FootnoteText"/>
      </w:pPr>
      <w:r>
        <w:rPr>
          <w:rStyle w:val="FootnoteReference"/>
        </w:rPr>
        <w:footnoteRef/>
      </w:r>
      <w:r>
        <w:t xml:space="preserve"> </w:t>
      </w:r>
      <w:r>
        <w:t>Also known as the Festival of Booths (Tabernacles).</w:t>
      </w:r>
    </w:p>
  </w:footnote>
  <w:footnote w:id="10">
    <w:p w:rsidR="00C765B7" w:rsidRDefault="00C765B7">
      <w:pPr>
        <w:pStyle w:val="FootnoteText"/>
      </w:pPr>
      <w:r>
        <w:rPr>
          <w:rStyle w:val="FootnoteReference"/>
        </w:rPr>
        <w:footnoteRef/>
      </w:r>
      <w:r>
        <w:t xml:space="preserve"> </w:t>
      </w:r>
      <w:r>
        <w:t>Or “males.”</w:t>
      </w:r>
    </w:p>
  </w:footnote>
  <w:footnote w:id="11">
    <w:p w:rsidR="00C765B7" w:rsidRDefault="00C765B7">
      <w:pPr>
        <w:pStyle w:val="FootnoteText"/>
      </w:pPr>
      <w:r>
        <w:rPr>
          <w:rStyle w:val="FootnoteReference"/>
        </w:rPr>
        <w:footnoteRef/>
      </w:r>
      <w:r>
        <w:t xml:space="preserve"> </w:t>
      </w:r>
      <w:r>
        <w:t>Or “I will make the number of your days full.”</w:t>
      </w:r>
    </w:p>
  </w:footnote>
  <w:footnote w:id="12">
    <w:p w:rsidR="00C765B7" w:rsidRDefault="00C765B7">
      <w:pPr>
        <w:pStyle w:val="FootnoteText"/>
      </w:pPr>
      <w:r>
        <w:rPr>
          <w:rStyle w:val="FootnoteReference"/>
        </w:rPr>
        <w:footnoteRef/>
      </w:r>
      <w:r>
        <w:t xml:space="preserve"> </w:t>
      </w:r>
      <w:r>
        <w:t>Or “I will make all your enemies turn their back to you.”</w:t>
      </w:r>
    </w:p>
  </w:footnote>
  <w:footnote w:id="13">
    <w:p w:rsidR="00C765B7" w:rsidRDefault="00C765B7">
      <w:pPr>
        <w:pStyle w:val="FootnoteText"/>
      </w:pPr>
      <w:r>
        <w:rPr>
          <w:rStyle w:val="FootnoteReference"/>
        </w:rPr>
        <w:footnoteRef/>
      </w:r>
      <w:r>
        <w:t xml:space="preserve"> </w:t>
      </w:r>
      <w:r>
        <w:t>Or possibly, “panic; terror.”</w:t>
      </w:r>
    </w:p>
  </w:footnote>
  <w:footnote w:id="14">
    <w:p w:rsidR="00C765B7" w:rsidRDefault="00C765B7">
      <w:pPr>
        <w:pStyle w:val="FootnoteText"/>
      </w:pPr>
      <w:r>
        <w:rPr>
          <w:rStyle w:val="FootnoteReference"/>
        </w:rPr>
        <w:footnoteRef/>
      </w:r>
      <w:r>
        <w:t xml:space="preserve"> </w:t>
      </w:r>
      <w:r>
        <w:t>That is, the Euphrates.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C765B7">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C765B7">
        <w:t>Exodus Chapter 23</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C765B7">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765B7">
      <w:rPr>
        <w:noProof/>
        <w:snapToGrid w:val="0"/>
      </w:rPr>
      <w:t>Exodus 23.Advisor.docx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C765B7">
        <w:t>Exodus Chapter 23</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C765B7">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765B7">
      <w:rPr>
        <w:noProof/>
        <w:snapToGrid w:val="0"/>
      </w:rPr>
      <w:t>Exodus 23.Advisor.docx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C765B7">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C765B7">
      <w:t>&lt;not set&gt;</w:t>
    </w:r>
    <w:r>
      <w:fldChar w:fldCharType="end"/>
    </w:r>
    <w:r>
      <w:tab/>
      <w:t xml:space="preserve">Checker: </w:t>
    </w:r>
    <w:r>
      <w:fldChar w:fldCharType="begin"/>
    </w:r>
    <w:r>
      <w:instrText xml:space="preserve"> DOCPROPERTY "_RoleChecker" </w:instrText>
    </w:r>
    <w:r>
      <w:fldChar w:fldCharType="separate"/>
    </w:r>
    <w:r w:rsidR="00C765B7">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C765B7">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62EA"/>
    <w:rsid w:val="00245EDD"/>
    <w:rsid w:val="0026230D"/>
    <w:rsid w:val="002B524D"/>
    <w:rsid w:val="002C00A8"/>
    <w:rsid w:val="00310508"/>
    <w:rsid w:val="003B380B"/>
    <w:rsid w:val="004500A2"/>
    <w:rsid w:val="004B7393"/>
    <w:rsid w:val="004C5EB7"/>
    <w:rsid w:val="004F62EA"/>
    <w:rsid w:val="00506CBF"/>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765B7"/>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a1702f2e5022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765B7"/>
    <w:pPr>
      <w:spacing w:line="240" w:lineRule="auto"/>
    </w:pPr>
    <w:rPr>
      <w:sz w:val="20"/>
      <w:szCs w:val="20"/>
    </w:rPr>
  </w:style>
  <w:style w:type="character" w:customStyle="1" w:styleId="FootnoteTextChar">
    <w:name w:val="Footnote Text Char"/>
    <w:basedOn w:val="DefaultParagraphFont"/>
    <w:link w:val="FootnoteText"/>
    <w:rsid w:val="00C765B7"/>
    <w:rPr>
      <w:rFonts w:ascii="Arial" w:eastAsia="Times New Roman" w:hAnsi="Arial" w:cs="Latha"/>
      <w:lang w:val="en-US" w:eastAsia="en-US" w:bidi="ta-IN"/>
    </w:rPr>
  </w:style>
  <w:style w:type="character" w:styleId="FootnoteReference">
    <w:name w:val="footnote reference"/>
    <w:basedOn w:val="DefaultParagraphFont"/>
    <w:rsid w:val="00C765B7"/>
    <w:rPr>
      <w:vertAlign w:val="superscript"/>
    </w:rPr>
  </w:style>
  <w:style w:type="paragraph" w:styleId="EndnoteText">
    <w:name w:val="endnote text"/>
    <w:basedOn w:val="Normal"/>
    <w:link w:val="EndnoteTextChar"/>
    <w:rsid w:val="00C765B7"/>
    <w:pPr>
      <w:spacing w:line="240" w:lineRule="auto"/>
    </w:pPr>
    <w:rPr>
      <w:sz w:val="20"/>
      <w:szCs w:val="20"/>
    </w:rPr>
  </w:style>
  <w:style w:type="character" w:customStyle="1" w:styleId="EndnoteTextChar">
    <w:name w:val="Endnote Text Char"/>
    <w:basedOn w:val="DefaultParagraphFont"/>
    <w:link w:val="EndnoteText"/>
    <w:rsid w:val="00C765B7"/>
    <w:rPr>
      <w:rFonts w:ascii="Arial" w:eastAsia="Times New Roman" w:hAnsi="Arial" w:cs="Latha"/>
      <w:lang w:val="en-US" w:eastAsia="en-US" w:bidi="ta-IN"/>
    </w:rPr>
  </w:style>
  <w:style w:type="character" w:styleId="EndnoteReference">
    <w:name w:val="endnote reference"/>
    <w:basedOn w:val="DefaultParagraphFont"/>
    <w:rsid w:val="00C765B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765B7"/>
    <w:pPr>
      <w:spacing w:line="240" w:lineRule="auto"/>
    </w:pPr>
    <w:rPr>
      <w:sz w:val="20"/>
      <w:szCs w:val="20"/>
    </w:rPr>
  </w:style>
  <w:style w:type="character" w:customStyle="1" w:styleId="FootnoteTextChar">
    <w:name w:val="Footnote Text Char"/>
    <w:basedOn w:val="DefaultParagraphFont"/>
    <w:link w:val="FootnoteText"/>
    <w:rsid w:val="00C765B7"/>
    <w:rPr>
      <w:rFonts w:ascii="Arial" w:eastAsia="Times New Roman" w:hAnsi="Arial" w:cs="Latha"/>
      <w:lang w:val="en-US" w:eastAsia="en-US" w:bidi="ta-IN"/>
    </w:rPr>
  </w:style>
  <w:style w:type="character" w:styleId="FootnoteReference">
    <w:name w:val="footnote reference"/>
    <w:basedOn w:val="DefaultParagraphFont"/>
    <w:rsid w:val="00C765B7"/>
    <w:rPr>
      <w:vertAlign w:val="superscript"/>
    </w:rPr>
  </w:style>
  <w:style w:type="paragraph" w:styleId="EndnoteText">
    <w:name w:val="endnote text"/>
    <w:basedOn w:val="Normal"/>
    <w:link w:val="EndnoteTextChar"/>
    <w:rsid w:val="00C765B7"/>
    <w:pPr>
      <w:spacing w:line="240" w:lineRule="auto"/>
    </w:pPr>
    <w:rPr>
      <w:sz w:val="20"/>
      <w:szCs w:val="20"/>
    </w:rPr>
  </w:style>
  <w:style w:type="character" w:customStyle="1" w:styleId="EndnoteTextChar">
    <w:name w:val="Endnote Text Char"/>
    <w:basedOn w:val="DefaultParagraphFont"/>
    <w:link w:val="EndnoteText"/>
    <w:rsid w:val="00C765B7"/>
    <w:rPr>
      <w:rFonts w:ascii="Arial" w:eastAsia="Times New Roman" w:hAnsi="Arial" w:cs="Latha"/>
      <w:lang w:val="en-US" w:eastAsia="en-US" w:bidi="ta-IN"/>
    </w:rPr>
  </w:style>
  <w:style w:type="character" w:styleId="EndnoteReference">
    <w:name w:val="endnote reference"/>
    <w:basedOn w:val="DefaultParagraphFont"/>
    <w:rsid w:val="00C765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a1702f2e502248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927</ap:Words>
  <ap:Characters>3859</ap:Characters>
  <ap:Application>Microsoft Office Word</ap:Application>
  <ap:DocSecurity>0</ap:DocSecurity>
  <ap:Lines>63</ap:Lines>
  <ap:Paragraphs>19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4767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23</dc:title>
  <dc:subject/>
  <dc:creator>David Waterson</dc:creator>
  <cp:keywords/>
  <dc:description/>
  <cp:lastModifiedBy>David Waterson</cp:lastModifiedBy>
  <cp:revision>3</cp:revision>
  <dcterms:created xsi:type="dcterms:W3CDTF">2019-08-04T13:45:00Z</dcterms:created>
  <dcterms:modified xsi:type="dcterms:W3CDTF">2019-08-04T13:46:00Z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23.docx</vt:lpwstr>
  </property>
  <property fmtid="{D5CDD505-2E9C-101B-9397-08002B2CF9AE}" pid="9" name="_TranslationDocumentId">
    <vt:i4>19403</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2023</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23</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